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7C0E1" w14:textId="58178D4A" w:rsidR="00B721F7" w:rsidRPr="00484DBF" w:rsidRDefault="47A652A0" w:rsidP="120C6BF9">
      <w:pPr>
        <w:pStyle w:val="Header"/>
        <w:tabs>
          <w:tab w:val="right" w:pos="9639"/>
        </w:tabs>
        <w:jc w:val="both"/>
        <w:rPr>
          <w:noProof w:val="0"/>
          <w:sz w:val="24"/>
          <w:szCs w:val="24"/>
        </w:rPr>
      </w:pPr>
      <w:bookmarkStart w:id="0" w:name="_Hlk519580081"/>
      <w:bookmarkStart w:id="1" w:name="_Hlk527628066"/>
      <w:r w:rsidRPr="120C6BF9">
        <w:rPr>
          <w:noProof w:val="0"/>
          <w:sz w:val="24"/>
          <w:szCs w:val="24"/>
        </w:rPr>
        <w:t>3GPP TSG-RAN WG3 Meeting #111-e</w:t>
      </w:r>
      <w:r w:rsidR="00B721F7">
        <w:tab/>
      </w:r>
      <w:r w:rsidRPr="120C6BF9">
        <w:rPr>
          <w:noProof w:val="0"/>
          <w:sz w:val="24"/>
          <w:szCs w:val="24"/>
        </w:rPr>
        <w:t>R3-21</w:t>
      </w:r>
      <w:r w:rsidR="23E67CDA" w:rsidRPr="120C6BF9">
        <w:rPr>
          <w:noProof w:val="0"/>
          <w:sz w:val="24"/>
          <w:szCs w:val="24"/>
        </w:rPr>
        <w:t>0487</w:t>
      </w:r>
    </w:p>
    <w:bookmarkEnd w:id="0"/>
    <w:p w14:paraId="671F4455" w14:textId="77777777" w:rsidR="00B721F7" w:rsidRPr="00484DBF" w:rsidRDefault="00B721F7" w:rsidP="00B721F7">
      <w:pPr>
        <w:pStyle w:val="Header"/>
        <w:tabs>
          <w:tab w:val="left" w:pos="2410"/>
        </w:tabs>
        <w:rPr>
          <w:rFonts w:eastAsia="MS Mincho"/>
          <w:sz w:val="24"/>
          <w:szCs w:val="24"/>
        </w:rPr>
      </w:pPr>
      <w:r w:rsidRPr="00210053">
        <w:rPr>
          <w:rFonts w:eastAsia="MS Mincho"/>
          <w:sz w:val="24"/>
          <w:szCs w:val="24"/>
        </w:rPr>
        <w:t>25 January – 4 February 2021</w:t>
      </w:r>
    </w:p>
    <w:p w14:paraId="2B59E820" w14:textId="77777777" w:rsidR="00952130" w:rsidRPr="00B266B0" w:rsidRDefault="00952130" w:rsidP="00952130">
      <w:pPr>
        <w:pStyle w:val="Header"/>
        <w:rPr>
          <w:bCs w:val="0"/>
          <w:noProof w:val="0"/>
          <w:sz w:val="24"/>
        </w:rPr>
      </w:pPr>
    </w:p>
    <w:p w14:paraId="332AEB71" w14:textId="73E8F2B5"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12BEF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71041635" w:rsidR="007A7B60" w:rsidRPr="00E36997" w:rsidRDefault="0037175B" w:rsidP="00952130">
      <w:pPr>
        <w:overflowPunct/>
        <w:autoSpaceDE/>
        <w:autoSpaceDN/>
        <w:adjustRightInd/>
        <w:spacing w:after="180"/>
        <w:jc w:val="left"/>
        <w:textAlignment w:val="auto"/>
      </w:pPr>
      <w:r w:rsidRPr="00E36997">
        <w:t xml:space="preserve">Last RAN3 meeting </w:t>
      </w:r>
      <w:r w:rsidR="006048D0" w:rsidRPr="00E36997">
        <w:t>discussed the inter-donor migration, and agreed following</w:t>
      </w:r>
      <w:r w:rsidR="00423687">
        <w:t xml:space="preserve"> [1]</w:t>
      </w:r>
      <w:r w:rsidR="006048D0" w:rsidRPr="00E36997">
        <w:t>:</w:t>
      </w:r>
    </w:p>
    <w:p w14:paraId="78B62398" w14:textId="0B509C99" w:rsidR="00514E66" w:rsidRPr="00514E66" w:rsidRDefault="00514E66" w:rsidP="00514E66">
      <w:pPr>
        <w:overflowPunct/>
        <w:autoSpaceDE/>
        <w:autoSpaceDN/>
        <w:adjustRightInd/>
        <w:spacing w:after="60"/>
        <w:ind w:left="360"/>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 xml:space="preserve">For IAB nodes connected to a single donor, IAB-MT migration between IAB-donors can support robustness and load balancing; the </w:t>
      </w:r>
      <w:proofErr w:type="spellStart"/>
      <w:r>
        <w:rPr>
          <w:rFonts w:ascii="CIDFont+F1" w:eastAsia="CIDFont+F1" w:hAnsi="CG Times (WN)" w:cs="CIDFont+F1"/>
          <w:color w:val="00B150"/>
          <w:sz w:val="18"/>
          <w:szCs w:val="18"/>
          <w:lang w:val="en-US"/>
        </w:rPr>
        <w:t>Xn</w:t>
      </w:r>
      <w:proofErr w:type="spellEnd"/>
      <w:r>
        <w:rPr>
          <w:rFonts w:ascii="CIDFont+F1" w:eastAsia="CIDFont+F1" w:hAnsi="CG Times (WN)" w:cs="CIDFont+F1"/>
          <w:color w:val="00B150"/>
          <w:sz w:val="18"/>
          <w:szCs w:val="18"/>
          <w:lang w:val="en-US"/>
        </w:rPr>
        <w:t xml:space="preserve"> handover preparation procedure is taken as baseline</w:t>
      </w:r>
      <w:r w:rsidRPr="00514E66">
        <w:rPr>
          <w:rFonts w:ascii="CIDFont+F1" w:eastAsia="CIDFont+F1" w:hAnsi="CG Times (WN)" w:cs="CIDFont+F1"/>
          <w:color w:val="00B150"/>
          <w:sz w:val="18"/>
          <w:szCs w:val="18"/>
          <w:lang w:val="en-US"/>
        </w:rPr>
        <w:t>.</w:t>
      </w:r>
    </w:p>
    <w:p w14:paraId="36FA12F4" w14:textId="36A61EFD" w:rsidR="00B02AA7" w:rsidRDefault="00514E66" w:rsidP="00B02AA7">
      <w:pPr>
        <w:overflowPunct/>
        <w:autoSpaceDE/>
        <w:autoSpaceDN/>
        <w:adjustRightInd/>
        <w:spacing w:after="60"/>
        <w:ind w:left="360"/>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For IAB nodes connected to 2 donors, robustness and load balancing can be supported by using simultaneous connectivity</w:t>
      </w:r>
    </w:p>
    <w:p w14:paraId="17F7A20C" w14:textId="74DF562E" w:rsidR="00514E66" w:rsidRDefault="00B02AA7" w:rsidP="00B02AA7">
      <w:pPr>
        <w:overflowPunct/>
        <w:autoSpaceDE/>
        <w:autoSpaceDN/>
        <w:adjustRightInd/>
        <w:spacing w:after="60"/>
        <w:ind w:left="360"/>
        <w:jc w:val="left"/>
        <w:textAlignment w:val="auto"/>
        <w:rPr>
          <w:rFonts w:ascii="CIDFont+F1" w:eastAsia="CIDFont+F1" w:hAnsi="CG Times (WN)" w:cs="CIDFont+F1"/>
          <w:color w:val="00B150"/>
          <w:sz w:val="18"/>
          <w:szCs w:val="18"/>
          <w:lang w:val="en-US"/>
        </w:rPr>
      </w:pPr>
      <w:r>
        <w:rPr>
          <w:rFonts w:ascii="CIDFont+F1" w:eastAsia="CIDFont+F1" w:hAnsi="CG Times (WN)" w:cs="CIDFont+F1"/>
          <w:color w:val="00B150"/>
          <w:sz w:val="18"/>
          <w:szCs w:val="18"/>
          <w:lang w:val="en-US"/>
        </w:rPr>
        <w:t>It is not precluded for an IAB node to have simultaneous F1 interfaces to 2 donor CUs using the concept of separate logical IAB-DUs in the same physical node</w:t>
      </w:r>
    </w:p>
    <w:p w14:paraId="23781367" w14:textId="77777777" w:rsidR="00B02AA7" w:rsidRPr="00B02AA7" w:rsidRDefault="00B02AA7" w:rsidP="00B02AA7">
      <w:pPr>
        <w:overflowPunct/>
        <w:autoSpaceDE/>
        <w:autoSpaceDN/>
        <w:adjustRightInd/>
        <w:spacing w:after="60"/>
        <w:ind w:left="360"/>
        <w:jc w:val="left"/>
        <w:textAlignment w:val="auto"/>
        <w:rPr>
          <w:rFonts w:ascii="CIDFont+F1" w:eastAsia="CIDFont+F1" w:hAnsi="CG Times (WN)" w:cs="CIDFont+F1"/>
          <w:color w:val="00B150"/>
          <w:sz w:val="18"/>
          <w:szCs w:val="18"/>
          <w:lang w:val="en-US"/>
        </w:rPr>
      </w:pPr>
      <w:proofErr w:type="gramStart"/>
      <w:r w:rsidRPr="00B02AA7">
        <w:rPr>
          <w:rFonts w:ascii="CIDFont+F1" w:eastAsia="CIDFont+F1" w:hAnsi="CG Times (WN)" w:cs="CIDFont+F1"/>
          <w:color w:val="00B150"/>
          <w:sz w:val="18"/>
          <w:szCs w:val="18"/>
          <w:lang w:val="en-US"/>
        </w:rPr>
        <w:t>As a consequence of</w:t>
      </w:r>
      <w:proofErr w:type="gramEnd"/>
      <w:r w:rsidRPr="00B02AA7">
        <w:rPr>
          <w:rFonts w:ascii="CIDFont+F1" w:eastAsia="CIDFont+F1" w:hAnsi="CG Times (WN)" w:cs="CIDFont+F1"/>
          <w:color w:val="00B150"/>
          <w:sz w:val="18"/>
          <w:szCs w:val="18"/>
          <w:lang w:val="en-US"/>
        </w:rPr>
        <w:t xml:space="preserve"> adopting the </w:t>
      </w:r>
      <w:proofErr w:type="spellStart"/>
      <w:r w:rsidRPr="00B02AA7">
        <w:rPr>
          <w:rFonts w:ascii="CIDFont+F1" w:eastAsia="CIDFont+F1" w:hAnsi="CG Times (WN)" w:cs="CIDFont+F1"/>
          <w:color w:val="00B150"/>
          <w:sz w:val="18"/>
          <w:szCs w:val="18"/>
          <w:lang w:val="en-US"/>
        </w:rPr>
        <w:t>Xn</w:t>
      </w:r>
      <w:proofErr w:type="spellEnd"/>
      <w:r w:rsidRPr="00B02AA7">
        <w:rPr>
          <w:rFonts w:ascii="CIDFont+F1" w:eastAsia="CIDFont+F1" w:hAnsi="CG Times (WN)" w:cs="CIDFont+F1"/>
          <w:color w:val="00B150"/>
          <w:sz w:val="18"/>
          <w:szCs w:val="18"/>
          <w:lang w:val="en-US"/>
        </w:rPr>
        <w:t xml:space="preserve"> HO prep procedure as BL, the new IAB-donor needs to have an F1AP association with the IAB-DU holding the target cell before responding to the initiating message of the UE migration procedure </w:t>
      </w:r>
    </w:p>
    <w:p w14:paraId="508D2EFC" w14:textId="77777777" w:rsidR="00B02AA7" w:rsidRPr="00B02AA7" w:rsidRDefault="00B02AA7" w:rsidP="00B02AA7">
      <w:pPr>
        <w:overflowPunct/>
        <w:autoSpaceDE/>
        <w:autoSpaceDN/>
        <w:adjustRightInd/>
        <w:spacing w:after="60"/>
        <w:ind w:left="360"/>
        <w:jc w:val="left"/>
        <w:textAlignment w:val="auto"/>
        <w:rPr>
          <w:rFonts w:ascii="CIDFont+F1" w:eastAsia="CIDFont+F1" w:hAnsi="CG Times (WN)" w:cs="CIDFont+F1"/>
          <w:color w:val="00B150"/>
          <w:sz w:val="18"/>
          <w:szCs w:val="18"/>
          <w:lang w:val="en-US"/>
        </w:rPr>
      </w:pPr>
      <w:r w:rsidRPr="00B02AA7">
        <w:rPr>
          <w:rFonts w:ascii="CIDFont+F1" w:eastAsia="CIDFont+F1" w:hAnsi="CG Times (WN)" w:cs="CIDFont+F1"/>
          <w:color w:val="00B150"/>
          <w:sz w:val="18"/>
          <w:szCs w:val="18"/>
          <w:lang w:val="en-US"/>
        </w:rPr>
        <w:t>UE-migration to the new IAB-donor requires security context/key change</w:t>
      </w:r>
    </w:p>
    <w:p w14:paraId="535047D9" w14:textId="77777777" w:rsidR="00B02AA7" w:rsidRPr="00B02AA7" w:rsidRDefault="00B02AA7" w:rsidP="00B02AA7">
      <w:pPr>
        <w:overflowPunct/>
        <w:autoSpaceDE/>
        <w:autoSpaceDN/>
        <w:adjustRightInd/>
        <w:spacing w:after="60"/>
        <w:ind w:left="360"/>
        <w:jc w:val="left"/>
        <w:textAlignment w:val="auto"/>
        <w:rPr>
          <w:rFonts w:ascii="CIDFont+F1" w:eastAsia="CIDFont+F1" w:hAnsi="CG Times (WN)" w:cs="CIDFont+F1"/>
          <w:color w:val="00B150"/>
          <w:sz w:val="18"/>
          <w:szCs w:val="18"/>
          <w:lang w:val="en-US"/>
        </w:rPr>
      </w:pPr>
      <w:r w:rsidRPr="00B02AA7">
        <w:rPr>
          <w:rFonts w:ascii="CIDFont+F1" w:eastAsia="CIDFont+F1" w:hAnsi="CG Times (WN)" w:cs="CIDFont+F1"/>
          <w:color w:val="00B150"/>
          <w:sz w:val="18"/>
          <w:szCs w:val="18"/>
          <w:lang w:val="en-US"/>
        </w:rPr>
        <w:t>For IAB-MT migration, continue to discuss full and gradual sequences to migrate IAB-MT, UEs and descendent nodes</w:t>
      </w:r>
    </w:p>
    <w:p w14:paraId="2E7B4139" w14:textId="5BE1F038" w:rsidR="007A7B60" w:rsidRDefault="007A7B60" w:rsidP="00B02AA7">
      <w:pPr>
        <w:overflowPunct/>
        <w:autoSpaceDE/>
        <w:autoSpaceDN/>
        <w:adjustRightInd/>
        <w:spacing w:after="60"/>
        <w:jc w:val="left"/>
        <w:textAlignment w:val="auto"/>
      </w:pPr>
      <w:r>
        <w:t xml:space="preserve"> </w:t>
      </w:r>
    </w:p>
    <w:p w14:paraId="4397A4B2" w14:textId="1F0B8D14" w:rsidR="00952130" w:rsidRPr="00E36997" w:rsidRDefault="00952130" w:rsidP="00952130">
      <w:pPr>
        <w:overflowPunct/>
        <w:autoSpaceDE/>
        <w:autoSpaceDN/>
        <w:adjustRightInd/>
        <w:spacing w:after="180"/>
        <w:jc w:val="left"/>
        <w:textAlignment w:val="auto"/>
      </w:pPr>
      <w:r w:rsidRPr="00E36997">
        <w:t xml:space="preserve">This </w:t>
      </w:r>
      <w:r w:rsidR="007A7B60" w:rsidRPr="00E36997">
        <w:t>contribution analyses the technical detail</w:t>
      </w:r>
      <w:r w:rsidR="008956A6">
        <w:t>s</w:t>
      </w:r>
      <w:r w:rsidR="007A7B60" w:rsidRPr="00E36997">
        <w:t xml:space="preserve"> on inter-donor </w:t>
      </w:r>
      <w:r w:rsidR="00561349">
        <w:t>migration</w:t>
      </w:r>
      <w:r w:rsidR="00561349" w:rsidRPr="00E36997">
        <w:t xml:space="preserve"> </w:t>
      </w:r>
      <w:r w:rsidR="008956A6">
        <w:t>on a) IAB-MT is migrated between IAB-donors</w:t>
      </w:r>
      <w:r w:rsidR="008956A6" w:rsidRPr="00E36997">
        <w:t xml:space="preserve"> </w:t>
      </w:r>
      <w:r w:rsidR="00525782" w:rsidRPr="00E36997">
        <w:t>with</w:t>
      </w:r>
      <w:r w:rsidR="00EF78A7">
        <w:t xml:space="preserve"> one DU in IAB node, or with </w:t>
      </w:r>
      <w:r w:rsidR="00525782" w:rsidRPr="00E36997">
        <w:t>dual DU in IAB node</w:t>
      </w:r>
      <w:r w:rsidR="008956A6">
        <w:t xml:space="preserve"> and b) </w:t>
      </w:r>
      <w:r w:rsidR="008956A6" w:rsidRPr="0090683C">
        <w:t>IAB-MT is simultaneously connected to two IAB-donors</w:t>
      </w:r>
      <w:r w:rsidR="007A7B60" w:rsidRPr="00E36997">
        <w:t xml:space="preserve">. </w:t>
      </w:r>
    </w:p>
    <w:p w14:paraId="169C0E12" w14:textId="1EF3D297" w:rsidR="00E91E88" w:rsidRDefault="00E91E88" w:rsidP="00952130">
      <w:pPr>
        <w:pStyle w:val="Heading1"/>
      </w:pPr>
      <w:r>
        <w:t>Discussion</w:t>
      </w:r>
      <w:r w:rsidR="00AC2348">
        <w:t xml:space="preserve"> on </w:t>
      </w:r>
      <w:r w:rsidR="005A2C4D">
        <w:t>“</w:t>
      </w:r>
      <w:r w:rsidR="00AC2348">
        <w:t>IAB-MT is migrated between IAB-Donors</w:t>
      </w:r>
      <w:r w:rsidR="005A2C4D">
        <w:t>”</w:t>
      </w:r>
    </w:p>
    <w:p w14:paraId="4BC6306C" w14:textId="6D823BC4" w:rsidR="005607E1" w:rsidRDefault="00F51175" w:rsidP="005607E1">
      <w:pPr>
        <w:overflowPunct/>
        <w:autoSpaceDE/>
        <w:autoSpaceDN/>
        <w:adjustRightInd/>
        <w:spacing w:after="60"/>
        <w:jc w:val="left"/>
        <w:textAlignment w:val="auto"/>
      </w:pPr>
      <w:r>
        <w:t xml:space="preserve">This section </w:t>
      </w:r>
      <w:r w:rsidR="008A2902">
        <w:t>analyses</w:t>
      </w:r>
      <w:r w:rsidR="00E54F66">
        <w:t xml:space="preserve"> </w:t>
      </w:r>
      <w:r>
        <w:t>the options for a) IAB-MT is migrated between IAB-donors.</w:t>
      </w:r>
      <w:r w:rsidR="005607E1">
        <w:t xml:space="preserve"> </w:t>
      </w:r>
      <w:r w:rsidR="003A5E23">
        <w:t xml:space="preserve">For the IAB-MT part, current handover procedure can be reused. </w:t>
      </w:r>
      <w:r w:rsidR="005607E1">
        <w:t xml:space="preserve">Depending on whether the </w:t>
      </w:r>
      <w:r w:rsidR="00012C3B">
        <w:t xml:space="preserve">context for the UE </w:t>
      </w:r>
      <w:r w:rsidR="007D1626">
        <w:t>and descendant IAB-MT (referred as “</w:t>
      </w:r>
      <w:r w:rsidR="005607E1">
        <w:t>UE context</w:t>
      </w:r>
      <w:r w:rsidR="007D1626">
        <w:t>” in below paragraph)</w:t>
      </w:r>
      <w:r w:rsidR="005607E1">
        <w:t xml:space="preserve"> is moved to target Donor, </w:t>
      </w:r>
      <w:r w:rsidR="00012C3B">
        <w:t>there are 2 options</w:t>
      </w:r>
    </w:p>
    <w:p w14:paraId="7017986A" w14:textId="020054C1" w:rsidR="003A06BC" w:rsidRDefault="00AD746D" w:rsidP="003A06BC">
      <w:pPr>
        <w:pStyle w:val="ListParagraph"/>
        <w:numPr>
          <w:ilvl w:val="0"/>
          <w:numId w:val="26"/>
        </w:numPr>
        <w:overflowPunct/>
        <w:autoSpaceDE/>
        <w:autoSpaceDN/>
        <w:adjustRightInd/>
        <w:spacing w:after="60"/>
        <w:jc w:val="left"/>
        <w:textAlignment w:val="auto"/>
      </w:pPr>
      <w:r w:rsidRPr="003A06BC">
        <w:t>Option 1: UE context is also moved to target Donor.</w:t>
      </w:r>
      <w:r w:rsidR="003A06BC" w:rsidRPr="003A06BC">
        <w:t xml:space="preserve"> </w:t>
      </w:r>
    </w:p>
    <w:p w14:paraId="7CD1D30B" w14:textId="09DCA0F5" w:rsidR="003A06BC" w:rsidRDefault="003A06BC" w:rsidP="003A06BC">
      <w:pPr>
        <w:overflowPunct/>
        <w:autoSpaceDE/>
        <w:autoSpaceDN/>
        <w:adjustRightInd/>
        <w:spacing w:after="60"/>
        <w:ind w:left="720"/>
        <w:jc w:val="left"/>
        <w:textAlignment w:val="auto"/>
      </w:pPr>
      <w:r>
        <w:t xml:space="preserve">In this option, all UE context </w:t>
      </w:r>
      <w:proofErr w:type="gramStart"/>
      <w:r>
        <w:t>are</w:t>
      </w:r>
      <w:proofErr w:type="gramEnd"/>
      <w:r>
        <w:t xml:space="preserve"> moved to target Donor. After the migration is completed, the Source Donor does not have any context for the migrating IAB, the descendant IABs, and the UEs connected to the migration IAB or descendant IAB. </w:t>
      </w:r>
    </w:p>
    <w:p w14:paraId="55D679CB" w14:textId="77777777" w:rsidR="003A06BC" w:rsidRPr="003A06BC" w:rsidRDefault="003A06BC" w:rsidP="003A06BC">
      <w:pPr>
        <w:pStyle w:val="ListParagraph"/>
        <w:overflowPunct/>
        <w:autoSpaceDE/>
        <w:autoSpaceDN/>
        <w:adjustRightInd/>
        <w:spacing w:after="60"/>
        <w:jc w:val="left"/>
        <w:textAlignment w:val="auto"/>
      </w:pPr>
    </w:p>
    <w:p w14:paraId="18CDFAD2" w14:textId="4498B1AD" w:rsidR="00AD746D" w:rsidRDefault="00AD746D" w:rsidP="003563E9">
      <w:pPr>
        <w:pStyle w:val="ListParagraph"/>
        <w:numPr>
          <w:ilvl w:val="0"/>
          <w:numId w:val="26"/>
        </w:numPr>
        <w:overflowPunct/>
        <w:autoSpaceDE/>
        <w:autoSpaceDN/>
        <w:adjustRightInd/>
        <w:spacing w:after="60"/>
        <w:jc w:val="left"/>
        <w:textAlignment w:val="auto"/>
      </w:pPr>
      <w:r w:rsidRPr="003A06BC">
        <w:t xml:space="preserve">Option 2: UE context remains in source Donor. </w:t>
      </w:r>
    </w:p>
    <w:p w14:paraId="30E5236C" w14:textId="125ECEE0" w:rsidR="003A06BC" w:rsidRPr="003A06BC" w:rsidRDefault="003A06BC" w:rsidP="003A06BC">
      <w:pPr>
        <w:pStyle w:val="ListParagraph"/>
        <w:overflowPunct/>
        <w:autoSpaceDE/>
        <w:autoSpaceDN/>
        <w:adjustRightInd/>
        <w:spacing w:after="60"/>
        <w:jc w:val="left"/>
        <w:textAlignment w:val="auto"/>
      </w:pPr>
      <w:r>
        <w:t>In this option, all UE context remains in source Donor. Only the context for the migrating IAB-MT</w:t>
      </w:r>
      <w:r w:rsidR="0009154C">
        <w:t xml:space="preserve"> is moved to target Donor. </w:t>
      </w:r>
    </w:p>
    <w:p w14:paraId="4DDD321A" w14:textId="0E704A61" w:rsidR="00BB0538" w:rsidRDefault="00AD746D" w:rsidP="00AD746D">
      <w:pPr>
        <w:pStyle w:val="Heading2"/>
        <w:ind w:left="1134" w:hanging="1134"/>
        <w:rPr>
          <w:rFonts w:eastAsia="宋体"/>
          <w:lang w:eastAsia="en-US"/>
        </w:rPr>
      </w:pPr>
      <w:r w:rsidRPr="00640EFB">
        <w:rPr>
          <w:rFonts w:eastAsia="宋体"/>
          <w:lang w:eastAsia="en-US"/>
        </w:rPr>
        <w:t>2.</w:t>
      </w:r>
      <w:r>
        <w:rPr>
          <w:rFonts w:eastAsia="宋体"/>
          <w:lang w:eastAsia="en-US"/>
        </w:rPr>
        <w:t>1</w:t>
      </w:r>
      <w:r w:rsidRPr="00640EFB">
        <w:rPr>
          <w:rFonts w:eastAsia="宋体"/>
          <w:lang w:eastAsia="en-US"/>
        </w:rPr>
        <w:t xml:space="preserve">. </w:t>
      </w:r>
      <w:r w:rsidR="00BB0538">
        <w:rPr>
          <w:rFonts w:eastAsia="宋体"/>
          <w:lang w:eastAsia="en-US"/>
        </w:rPr>
        <w:t xml:space="preserve">Option 1 - </w:t>
      </w:r>
      <w:r w:rsidR="00BB0538" w:rsidRPr="00BB0538">
        <w:rPr>
          <w:rFonts w:eastAsia="宋体"/>
          <w:lang w:eastAsia="en-US"/>
        </w:rPr>
        <w:t>UE context is also moved to target Donor</w:t>
      </w:r>
    </w:p>
    <w:p w14:paraId="5CE1EF9B" w14:textId="008326B2" w:rsidR="00D65E6C" w:rsidRDefault="00D65E6C" w:rsidP="00D65E6C">
      <w:pPr>
        <w:rPr>
          <w:lang w:eastAsia="en-US"/>
        </w:rPr>
      </w:pPr>
      <w:r>
        <w:rPr>
          <w:lang w:eastAsia="en-US"/>
        </w:rPr>
        <w:t>Option 1 has 2 further options</w:t>
      </w:r>
      <w:r w:rsidR="00FE5BEE">
        <w:rPr>
          <w:lang w:eastAsia="en-US"/>
        </w:rPr>
        <w:t>:</w:t>
      </w:r>
      <w:r>
        <w:rPr>
          <w:lang w:eastAsia="en-US"/>
        </w:rPr>
        <w:t xml:space="preserve"> </w:t>
      </w:r>
    </w:p>
    <w:p w14:paraId="0A9BCC46" w14:textId="4DA5B7D5" w:rsidR="00D65E6C" w:rsidRDefault="00D65E6C" w:rsidP="00D65E6C">
      <w:pPr>
        <w:rPr>
          <w:lang w:eastAsia="en-US"/>
        </w:rPr>
      </w:pPr>
      <w:r>
        <w:rPr>
          <w:lang w:eastAsia="en-US"/>
        </w:rPr>
        <w:t xml:space="preserve"> - Option 1a when an IAB node only have one </w:t>
      </w:r>
      <w:proofErr w:type="spellStart"/>
      <w:r>
        <w:rPr>
          <w:lang w:eastAsia="en-US"/>
        </w:rPr>
        <w:t>gNB</w:t>
      </w:r>
      <w:proofErr w:type="spellEnd"/>
      <w:r>
        <w:rPr>
          <w:lang w:eastAsia="en-US"/>
        </w:rPr>
        <w:t>-DU.</w:t>
      </w:r>
    </w:p>
    <w:p w14:paraId="04E22756" w14:textId="4EF95103" w:rsidR="00D65E6C" w:rsidRPr="00D65E6C" w:rsidRDefault="00D65E6C" w:rsidP="00D65E6C">
      <w:pPr>
        <w:rPr>
          <w:lang w:eastAsia="en-US"/>
        </w:rPr>
      </w:pPr>
      <w:r>
        <w:rPr>
          <w:lang w:eastAsia="en-US"/>
        </w:rPr>
        <w:t xml:space="preserve"> - Option 1b when an IAB node have 2 </w:t>
      </w:r>
      <w:proofErr w:type="spellStart"/>
      <w:r>
        <w:rPr>
          <w:lang w:eastAsia="en-US"/>
        </w:rPr>
        <w:t>gNB</w:t>
      </w:r>
      <w:proofErr w:type="spellEnd"/>
      <w:r>
        <w:rPr>
          <w:lang w:eastAsia="en-US"/>
        </w:rPr>
        <w:t xml:space="preserve">-DUs. </w:t>
      </w:r>
    </w:p>
    <w:p w14:paraId="433C24AB" w14:textId="192FF470" w:rsidR="00AD746D" w:rsidRDefault="00BB0538" w:rsidP="00AD746D">
      <w:pPr>
        <w:pStyle w:val="Heading2"/>
        <w:ind w:left="1134" w:hanging="1134"/>
      </w:pPr>
      <w:r>
        <w:rPr>
          <w:rFonts w:eastAsia="宋体"/>
          <w:lang w:eastAsia="en-US"/>
        </w:rPr>
        <w:lastRenderedPageBreak/>
        <w:t>2.1.1 Option 1</w:t>
      </w:r>
      <w:r w:rsidR="00A708C4">
        <w:rPr>
          <w:rFonts w:eastAsia="宋体"/>
          <w:lang w:eastAsia="en-US"/>
        </w:rPr>
        <w:t>a -</w:t>
      </w:r>
      <w:r>
        <w:rPr>
          <w:rFonts w:eastAsia="宋体"/>
          <w:lang w:eastAsia="en-US"/>
        </w:rPr>
        <w:t xml:space="preserve"> </w:t>
      </w:r>
      <w:r w:rsidR="00423687" w:rsidRPr="00BB0538">
        <w:rPr>
          <w:rFonts w:eastAsia="宋体"/>
          <w:lang w:eastAsia="en-US"/>
        </w:rPr>
        <w:t xml:space="preserve">UE context </w:t>
      </w:r>
      <w:r w:rsidR="00423687">
        <w:rPr>
          <w:rFonts w:eastAsia="宋体"/>
          <w:lang w:eastAsia="en-US"/>
        </w:rPr>
        <w:t>move for</w:t>
      </w:r>
      <w:r>
        <w:rPr>
          <w:rFonts w:eastAsia="宋体"/>
          <w:lang w:eastAsia="en-US"/>
        </w:rPr>
        <w:t xml:space="preserve"> </w:t>
      </w:r>
      <w:r w:rsidR="00AD746D">
        <w:rPr>
          <w:rFonts w:eastAsia="宋体"/>
          <w:lang w:eastAsia="en-US"/>
        </w:rPr>
        <w:t xml:space="preserve">an IAB node </w:t>
      </w:r>
      <w:r w:rsidR="00423687">
        <w:rPr>
          <w:rFonts w:eastAsia="宋体"/>
          <w:lang w:eastAsia="en-US"/>
        </w:rPr>
        <w:t xml:space="preserve">which </w:t>
      </w:r>
      <w:r w:rsidR="00AD746D">
        <w:rPr>
          <w:rFonts w:eastAsia="宋体"/>
          <w:lang w:eastAsia="en-US"/>
        </w:rPr>
        <w:t xml:space="preserve">only has one </w:t>
      </w:r>
      <w:proofErr w:type="spellStart"/>
      <w:r w:rsidR="00AD746D">
        <w:rPr>
          <w:rFonts w:eastAsia="宋体"/>
          <w:lang w:eastAsia="en-US"/>
        </w:rPr>
        <w:t>gNB</w:t>
      </w:r>
      <w:proofErr w:type="spellEnd"/>
      <w:r w:rsidR="00AD746D">
        <w:rPr>
          <w:rFonts w:eastAsia="宋体"/>
          <w:lang w:eastAsia="en-US"/>
        </w:rPr>
        <w:t>-DU</w:t>
      </w:r>
    </w:p>
    <w:p w14:paraId="453966A1" w14:textId="77777777" w:rsidR="00B02AA7" w:rsidRDefault="009E2AAE" w:rsidP="00CB1153">
      <w:r>
        <w:t xml:space="preserve">In this option, an IAB node only </w:t>
      </w:r>
      <w:r w:rsidR="00FC3FCB">
        <w:t xml:space="preserve">has </w:t>
      </w:r>
      <w:r>
        <w:t xml:space="preserve">one </w:t>
      </w:r>
      <w:proofErr w:type="spellStart"/>
      <w:r>
        <w:t>gNB</w:t>
      </w:r>
      <w:proofErr w:type="spellEnd"/>
      <w:r>
        <w:t>-DU. With current inter-</w:t>
      </w:r>
      <w:proofErr w:type="spellStart"/>
      <w:r>
        <w:t>gNB</w:t>
      </w:r>
      <w:proofErr w:type="spellEnd"/>
      <w:r>
        <w:t xml:space="preserve"> handover procedure, the Source </w:t>
      </w:r>
      <w:proofErr w:type="spellStart"/>
      <w:r>
        <w:t>gNB</w:t>
      </w:r>
      <w:proofErr w:type="spellEnd"/>
      <w:r>
        <w:t xml:space="preserve">-DU and Target </w:t>
      </w:r>
      <w:proofErr w:type="spellStart"/>
      <w:r>
        <w:t>gNB</w:t>
      </w:r>
      <w:proofErr w:type="spellEnd"/>
      <w:r>
        <w:t xml:space="preserve">-DU are referring to the same </w:t>
      </w:r>
      <w:proofErr w:type="spellStart"/>
      <w:r>
        <w:t>gNB</w:t>
      </w:r>
      <w:proofErr w:type="spellEnd"/>
      <w:r>
        <w:t xml:space="preserve">-DU in the IAB node. </w:t>
      </w:r>
      <w:r w:rsidR="00EA1940">
        <w:t>Before the migrating IAB detach from the source cell, the IAB-DU only have the F1</w:t>
      </w:r>
      <w:r w:rsidR="0088730D">
        <w:t>-C</w:t>
      </w:r>
      <w:r w:rsidR="00EA1940">
        <w:t xml:space="preserve"> interface with Source Donor. </w:t>
      </w:r>
    </w:p>
    <w:p w14:paraId="4EC23D3E" w14:textId="4C671B07" w:rsidR="00B02AA7" w:rsidRDefault="00B02AA7" w:rsidP="00B02AA7">
      <w:r>
        <w:t>A typical inter-</w:t>
      </w:r>
      <w:proofErr w:type="spellStart"/>
      <w:r>
        <w:t>gNB</w:t>
      </w:r>
      <w:proofErr w:type="spellEnd"/>
      <w:r>
        <w:t xml:space="preserve"> handover procedure (from TS</w:t>
      </w:r>
      <w:r w:rsidR="00423687">
        <w:t xml:space="preserve"> </w:t>
      </w:r>
      <w:r>
        <w:t xml:space="preserve">38.401) is copied as below as reference. </w:t>
      </w:r>
    </w:p>
    <w:p w14:paraId="0CB44A4B" w14:textId="77777777" w:rsidR="00B02AA7" w:rsidRPr="00B8401F" w:rsidRDefault="00B02AA7" w:rsidP="00B02AA7">
      <w:pPr>
        <w:pStyle w:val="TH"/>
      </w:pPr>
      <w:r>
        <w:object w:dxaOrig="16470" w:dyaOrig="13935" w14:anchorId="2D130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349.7pt" o:ole="">
            <v:imagedata r:id="rId13" o:title=""/>
          </v:shape>
          <o:OLEObject Type="Embed" ProgID="Visio.Drawing.15" ShapeID="_x0000_i1025" DrawAspect="Content" ObjectID="_1672212929" r:id="rId14"/>
        </w:object>
      </w:r>
    </w:p>
    <w:p w14:paraId="7B92DFC2" w14:textId="77777777" w:rsidR="00B02AA7" w:rsidRPr="00B8401F" w:rsidRDefault="00B02AA7" w:rsidP="00B02AA7">
      <w:pPr>
        <w:pStyle w:val="TF"/>
      </w:pPr>
      <w:r w:rsidRPr="00B8401F">
        <w:t>Figure 8.9.4-1: Inter-gNB handover involving gNB-CU-UP change</w:t>
      </w:r>
    </w:p>
    <w:p w14:paraId="344EAB63" w14:textId="661DF91A" w:rsidR="00B02AA7" w:rsidRDefault="00B02AA7" w:rsidP="00B02AA7">
      <w:pPr>
        <w:widowControl w:val="0"/>
      </w:pPr>
      <w:r>
        <w:t>As seen in above the figure, current HO procedure requires the F1-C between source Donor and IAB-DU, and the F1-C between target Donor and IAB-DU. This is also reflected in the agreement “</w:t>
      </w:r>
      <w:r w:rsidRPr="0078549A">
        <w:rPr>
          <w:rFonts w:ascii="Calibri" w:hAnsi="Calibri" w:cs="Calibri"/>
          <w:iCs/>
          <w:color w:val="00B050"/>
          <w:sz w:val="22"/>
          <w:szCs w:val="22"/>
        </w:rPr>
        <w:t>As a consequence of adopting the Xn HO prep procedure as BL, the new IAB-donor needs to have an F1AP association with the IAB-DU holding the target cell before responding to the initiating message of the UE migration procedure</w:t>
      </w:r>
      <w:r>
        <w:t xml:space="preserve">”. </w:t>
      </w:r>
    </w:p>
    <w:p w14:paraId="07CF0F28" w14:textId="0F841F2D" w:rsidR="00B02AA7" w:rsidRDefault="00B02AA7" w:rsidP="00B02AA7">
      <w:pPr>
        <w:widowControl w:val="0"/>
      </w:pPr>
      <w:r>
        <w:t>When the IAB only have an gNB-DU, i</w:t>
      </w:r>
      <w:r w:rsidR="00EA1940">
        <w:t>t is not possible</w:t>
      </w:r>
      <w:r w:rsidR="00FC3FCB">
        <w:t xml:space="preserve"> for</w:t>
      </w:r>
      <w:r w:rsidR="00EA1940">
        <w:t xml:space="preserve"> t</w:t>
      </w:r>
      <w:r w:rsidR="00C82528">
        <w:t>he IAB-DU to setup F1 interface with Target Donor, while maintain</w:t>
      </w:r>
      <w:r w:rsidR="00FC3FCB">
        <w:t>ing</w:t>
      </w:r>
      <w:r w:rsidR="00C82528">
        <w:t xml:space="preserve"> the F1 interface between the IAB-DU and Source Donor. </w:t>
      </w:r>
      <w:r>
        <w:t>This means current HO procedure cannot be reused</w:t>
      </w:r>
      <w:r w:rsidR="00131ABE">
        <w:t xml:space="preserve">, unless an enhancement is introduced. It may be argued that this may be solved by some enhancement, e.g. reusing the F1AP UE context established in the source Donor in target Donor via transferring the F1AP UE context during the HO preparation procedure for the UE. But this may be a big change. </w:t>
      </w:r>
    </w:p>
    <w:p w14:paraId="1BCF26E5" w14:textId="447E9E3A" w:rsidR="00131ABE" w:rsidRPr="00131ABE" w:rsidRDefault="00131ABE" w:rsidP="00B02AA7">
      <w:pPr>
        <w:widowControl w:val="0"/>
        <w:rPr>
          <w:rFonts w:ascii="Calibri" w:hAnsi="Calibri" w:cs="Calibri"/>
          <w:b/>
          <w:bCs/>
          <w:iCs/>
          <w:color w:val="00B050"/>
          <w:sz w:val="16"/>
          <w:szCs w:val="16"/>
        </w:rPr>
      </w:pPr>
      <w:r>
        <w:rPr>
          <w:b/>
          <w:bCs/>
        </w:rPr>
        <w:t xml:space="preserve">Observation 1: When IAB only have one gNB-DU, it is not possible to reuse current HO procedure for the UE, unless a big change is introduced. </w:t>
      </w:r>
    </w:p>
    <w:p w14:paraId="65574D03" w14:textId="562A2CB6" w:rsidR="00B02AA7" w:rsidRPr="00131ABE" w:rsidRDefault="00131ABE" w:rsidP="00CB1153">
      <w:pPr>
        <w:rPr>
          <w:b/>
          <w:bCs/>
        </w:rPr>
      </w:pPr>
      <w:r w:rsidRPr="00131ABE">
        <w:rPr>
          <w:b/>
          <w:bCs/>
        </w:rPr>
        <w:t>Proposal 1</w:t>
      </w:r>
      <w:r>
        <w:rPr>
          <w:b/>
          <w:bCs/>
        </w:rPr>
        <w:t xml:space="preserve">: RAN3 deprioritize </w:t>
      </w:r>
      <w:r w:rsidR="00350AA0">
        <w:rPr>
          <w:b/>
          <w:bCs/>
        </w:rPr>
        <w:t xml:space="preserve">the solution that </w:t>
      </w:r>
      <w:r>
        <w:rPr>
          <w:b/>
          <w:bCs/>
        </w:rPr>
        <w:t>us</w:t>
      </w:r>
      <w:r w:rsidR="00350AA0">
        <w:rPr>
          <w:b/>
          <w:bCs/>
        </w:rPr>
        <w:t>ing</w:t>
      </w:r>
      <w:r>
        <w:rPr>
          <w:b/>
          <w:bCs/>
        </w:rPr>
        <w:t xml:space="preserve"> HO procedure </w:t>
      </w:r>
      <w:r w:rsidR="00C4667B">
        <w:rPr>
          <w:b/>
          <w:bCs/>
        </w:rPr>
        <w:t>to move</w:t>
      </w:r>
      <w:r>
        <w:rPr>
          <w:b/>
          <w:bCs/>
        </w:rPr>
        <w:t xml:space="preserve"> UE context to target Donor, when the IAB only have one gNB-DU. </w:t>
      </w:r>
    </w:p>
    <w:p w14:paraId="46140A50" w14:textId="0E29E660" w:rsidR="0013711E" w:rsidRDefault="007B0FF7" w:rsidP="007B0FF7">
      <w:pPr>
        <w:pStyle w:val="Heading2"/>
        <w:ind w:left="1134" w:hanging="1134"/>
        <w:rPr>
          <w:rFonts w:eastAsia="宋体"/>
          <w:lang w:eastAsia="en-US"/>
        </w:rPr>
      </w:pPr>
      <w:r w:rsidRPr="00640EFB">
        <w:rPr>
          <w:rFonts w:eastAsia="宋体"/>
          <w:lang w:eastAsia="en-US"/>
        </w:rPr>
        <w:lastRenderedPageBreak/>
        <w:t>2.</w:t>
      </w:r>
      <w:r w:rsidR="009F3727">
        <w:rPr>
          <w:rFonts w:eastAsia="宋体"/>
          <w:lang w:eastAsia="en-US"/>
        </w:rPr>
        <w:t>1.</w:t>
      </w:r>
      <w:r w:rsidR="00B0223E">
        <w:rPr>
          <w:rFonts w:eastAsia="宋体"/>
          <w:lang w:eastAsia="en-US"/>
        </w:rPr>
        <w:t>2</w:t>
      </w:r>
      <w:r w:rsidRPr="00640EFB">
        <w:rPr>
          <w:rFonts w:eastAsia="宋体"/>
          <w:lang w:eastAsia="en-US"/>
        </w:rPr>
        <w:t xml:space="preserve">. </w:t>
      </w:r>
      <w:r w:rsidR="002E6827">
        <w:rPr>
          <w:rFonts w:eastAsia="宋体"/>
          <w:lang w:eastAsia="en-US"/>
        </w:rPr>
        <w:t>Option 1</w:t>
      </w:r>
      <w:r w:rsidR="00AC70FB">
        <w:rPr>
          <w:rFonts w:eastAsia="宋体"/>
          <w:lang w:eastAsia="en-US"/>
        </w:rPr>
        <w:t>b</w:t>
      </w:r>
      <w:r w:rsidR="002E6827">
        <w:rPr>
          <w:rFonts w:eastAsia="宋体"/>
          <w:lang w:eastAsia="en-US"/>
        </w:rPr>
        <w:t xml:space="preserve"> </w:t>
      </w:r>
      <w:r w:rsidR="00423687">
        <w:rPr>
          <w:rFonts w:eastAsia="宋体"/>
          <w:lang w:eastAsia="en-US"/>
        </w:rPr>
        <w:t>–</w:t>
      </w:r>
      <w:r w:rsidR="002E6827">
        <w:rPr>
          <w:rFonts w:eastAsia="宋体"/>
          <w:lang w:eastAsia="en-US"/>
        </w:rPr>
        <w:t xml:space="preserve"> </w:t>
      </w:r>
      <w:r w:rsidR="00423687">
        <w:rPr>
          <w:rFonts w:eastAsia="宋体"/>
          <w:lang w:eastAsia="en-US"/>
        </w:rPr>
        <w:t xml:space="preserve">UE context </w:t>
      </w:r>
      <w:proofErr w:type="gramStart"/>
      <w:r w:rsidR="00423687">
        <w:rPr>
          <w:rFonts w:eastAsia="宋体"/>
          <w:lang w:eastAsia="en-US"/>
        </w:rPr>
        <w:t>move</w:t>
      </w:r>
      <w:proofErr w:type="gramEnd"/>
      <w:r w:rsidR="00423687">
        <w:rPr>
          <w:rFonts w:eastAsia="宋体"/>
          <w:lang w:eastAsia="en-US"/>
        </w:rPr>
        <w:t xml:space="preserve"> for</w:t>
      </w:r>
      <w:r w:rsidR="002E6827">
        <w:rPr>
          <w:rFonts w:eastAsia="宋体"/>
          <w:lang w:eastAsia="en-US"/>
        </w:rPr>
        <w:t xml:space="preserve"> </w:t>
      </w:r>
      <w:r w:rsidR="0013711E">
        <w:rPr>
          <w:rFonts w:eastAsia="宋体"/>
          <w:lang w:eastAsia="en-US"/>
        </w:rPr>
        <w:t xml:space="preserve">an IAB node </w:t>
      </w:r>
      <w:r w:rsidR="00423687">
        <w:rPr>
          <w:rFonts w:eastAsia="宋体"/>
          <w:lang w:eastAsia="en-US"/>
        </w:rPr>
        <w:t xml:space="preserve">which </w:t>
      </w:r>
      <w:r w:rsidR="0013711E">
        <w:rPr>
          <w:rFonts w:eastAsia="宋体"/>
          <w:lang w:eastAsia="en-US"/>
        </w:rPr>
        <w:t xml:space="preserve">has </w:t>
      </w:r>
      <w:r w:rsidR="005A2C4D">
        <w:rPr>
          <w:rFonts w:eastAsia="宋体"/>
          <w:lang w:eastAsia="en-US"/>
        </w:rPr>
        <w:t xml:space="preserve">two </w:t>
      </w:r>
      <w:r w:rsidR="0013711E">
        <w:rPr>
          <w:rFonts w:eastAsia="宋体"/>
          <w:lang w:eastAsia="en-US"/>
        </w:rPr>
        <w:t>gNB-DUs</w:t>
      </w:r>
    </w:p>
    <w:p w14:paraId="6C338880" w14:textId="7FB8231B" w:rsidR="00DA69D7" w:rsidRDefault="00E62C10" w:rsidP="00CB1153">
      <w:r>
        <w:t>In this option, an IAB node may have 2 IAB-DUs, i.e. the 1</w:t>
      </w:r>
      <w:r w:rsidRPr="00E62C10">
        <w:rPr>
          <w:vertAlign w:val="superscript"/>
        </w:rPr>
        <w:t>st</w:t>
      </w:r>
      <w:r>
        <w:t xml:space="preserve"> IAB-DU (e.g. IAB-DU1) for </w:t>
      </w:r>
      <w:r w:rsidR="009477A4">
        <w:t xml:space="preserve">F1-C </w:t>
      </w:r>
      <w:r>
        <w:t>connection with Source Donor, and the 2</w:t>
      </w:r>
      <w:r w:rsidRPr="00E62C10">
        <w:rPr>
          <w:vertAlign w:val="superscript"/>
        </w:rPr>
        <w:t>nd</w:t>
      </w:r>
      <w:r>
        <w:t xml:space="preserve"> IAB-DU (e.g. IAB-DU2)</w:t>
      </w:r>
      <w:r w:rsidR="009477A4">
        <w:t xml:space="preserve"> for F1-C connecting with Target Donor.</w:t>
      </w:r>
      <w:r w:rsidR="00CF0864">
        <w:t xml:space="preserve"> </w:t>
      </w:r>
      <w:r w:rsidR="00894C14">
        <w:t xml:space="preserve">The migration procedure may include intermediate stage. </w:t>
      </w:r>
      <w:r w:rsidR="00CF0864">
        <w:t>Th</w:t>
      </w:r>
      <w:r w:rsidR="00207480">
        <w:t>is was discussed in contribution</w:t>
      </w:r>
      <w:r w:rsidR="00002BEA">
        <w:t xml:space="preserve"> ([1])</w:t>
      </w:r>
      <w:r w:rsidR="00DA69D7">
        <w:t>, which is copied as below:</w:t>
      </w:r>
    </w:p>
    <w:p w14:paraId="19C7F582" w14:textId="00A3382A" w:rsidR="00DA69D7" w:rsidRDefault="005D085F" w:rsidP="00DA69D7">
      <w:pPr>
        <w:keepNext/>
        <w:jc w:val="center"/>
      </w:pPr>
      <w:r w:rsidRPr="002504FE">
        <w:rPr>
          <w:noProof/>
        </w:rPr>
        <w:drawing>
          <wp:inline distT="0" distB="0" distL="0" distR="0" wp14:anchorId="10AE5670" wp14:editId="28F92E2F">
            <wp:extent cx="6120765" cy="3044190"/>
            <wp:effectExtent l="0" t="0" r="0" b="381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44190"/>
                    </a:xfrm>
                    <a:prstGeom prst="rect">
                      <a:avLst/>
                    </a:prstGeom>
                    <a:noFill/>
                    <a:ln>
                      <a:noFill/>
                    </a:ln>
                  </pic:spPr>
                </pic:pic>
              </a:graphicData>
            </a:graphic>
          </wp:inline>
        </w:drawing>
      </w:r>
    </w:p>
    <w:p w14:paraId="5B77DBB1" w14:textId="77777777" w:rsidR="00411999" w:rsidRDefault="00411999" w:rsidP="00411999">
      <w:pPr>
        <w:pStyle w:val="Caption"/>
        <w:rPr>
          <w:b w:val="0"/>
          <w:bCs w:val="0"/>
        </w:rPr>
      </w:pPr>
      <w:r w:rsidRPr="00BF72BA">
        <w:rPr>
          <w:b w:val="0"/>
          <w:bCs w:val="0"/>
        </w:rPr>
        <w:t xml:space="preserve">Figure </w:t>
      </w:r>
      <w:r>
        <w:rPr>
          <w:b w:val="0"/>
          <w:bCs w:val="0"/>
        </w:rPr>
        <w:t>3</w:t>
      </w:r>
      <w:r w:rsidRPr="00BF72BA">
        <w:rPr>
          <w:b w:val="0"/>
          <w:bCs w:val="0"/>
        </w:rPr>
        <w:t xml:space="preserve">: Options for migration of </w:t>
      </w:r>
      <w:r>
        <w:rPr>
          <w:b w:val="0"/>
          <w:bCs w:val="0"/>
        </w:rPr>
        <w:t>IAB-</w:t>
      </w:r>
      <w:r w:rsidRPr="00BF72BA">
        <w:rPr>
          <w:b w:val="0"/>
          <w:bCs w:val="0"/>
        </w:rPr>
        <w:t xml:space="preserve">MT3 and UE to </w:t>
      </w:r>
      <w:r>
        <w:rPr>
          <w:b w:val="0"/>
          <w:bCs w:val="0"/>
        </w:rPr>
        <w:t>IAB-</w:t>
      </w:r>
      <w:r w:rsidRPr="00BF72BA">
        <w:rPr>
          <w:b w:val="0"/>
          <w:bCs w:val="0"/>
        </w:rPr>
        <w:t>donor-CU2</w:t>
      </w:r>
    </w:p>
    <w:p w14:paraId="380233E2" w14:textId="0FEEE879" w:rsidR="005607E1" w:rsidRDefault="003778BA" w:rsidP="00CB1153">
      <w:r>
        <w:t xml:space="preserve">In </w:t>
      </w:r>
      <w:r w:rsidR="00851C1E">
        <w:t>this option, the HO procedure for the IAB-MT can be based on the existing H</w:t>
      </w:r>
      <w:r w:rsidR="00CD5F55">
        <w:t>O</w:t>
      </w:r>
      <w:r w:rsidR="00851C1E">
        <w:t xml:space="preserve"> procedure. For moving the UE context from the source Donor to target Donor, the source Donor can initiate the HO procedure for each UE and descendant IAB-MT. </w:t>
      </w:r>
      <w:r w:rsidR="0041319B">
        <w:t>Both “Source F1-C” between the 1</w:t>
      </w:r>
      <w:r w:rsidR="0041319B" w:rsidRPr="0041319B">
        <w:rPr>
          <w:vertAlign w:val="superscript"/>
        </w:rPr>
        <w:t>st</w:t>
      </w:r>
      <w:r w:rsidR="0041319B">
        <w:t xml:space="preserve"> DU of the migrating IAB-DU and source Donor, and “Target F1-C” between the 2</w:t>
      </w:r>
      <w:r w:rsidR="0041319B" w:rsidRPr="0041319B">
        <w:rPr>
          <w:vertAlign w:val="superscript"/>
        </w:rPr>
        <w:t>nd</w:t>
      </w:r>
      <w:r w:rsidR="0041319B">
        <w:t xml:space="preserve"> DU of the migrating IAB-DU and target Donor are simultaneously a</w:t>
      </w:r>
      <w:r w:rsidR="00724024">
        <w:t>ctive</w:t>
      </w:r>
      <w:r w:rsidR="0041319B">
        <w:t>.</w:t>
      </w:r>
      <w:r w:rsidR="00724024">
        <w:t xml:space="preserve"> </w:t>
      </w:r>
    </w:p>
    <w:p w14:paraId="34004F59" w14:textId="486CCB69" w:rsidR="00DA69D7" w:rsidRDefault="000E5954" w:rsidP="00CB1153">
      <w:r>
        <w:t>In intermediate stage Option 1, the IAB-MT is first HO to target and the “Source F1” established between the 1</w:t>
      </w:r>
      <w:r w:rsidRPr="000E5954">
        <w:rPr>
          <w:vertAlign w:val="superscript"/>
        </w:rPr>
        <w:t>st</w:t>
      </w:r>
      <w:r>
        <w:t xml:space="preserve"> DU and Source </w:t>
      </w:r>
      <w:r w:rsidR="003F7FC6">
        <w:t>Donor</w:t>
      </w:r>
      <w:r>
        <w:t xml:space="preserve"> is </w:t>
      </w:r>
      <w:r w:rsidR="00BA3581">
        <w:t xml:space="preserve">rerouted via the target path. Both “Source F1” and “Target F1” are routed via target path. Source Donor may then initiate the HO procedure for the UE. </w:t>
      </w:r>
      <w:r w:rsidR="003778BA">
        <w:t>An example call flow is shown as below:</w:t>
      </w:r>
    </w:p>
    <w:p w14:paraId="2FBE0C74" w14:textId="244A3411" w:rsidR="003778BA" w:rsidRDefault="002B432B" w:rsidP="00CB1153">
      <w:r>
        <w:object w:dxaOrig="19336" w:dyaOrig="16171" w14:anchorId="519D1850">
          <v:shape id="_x0000_i1026" type="#_x0000_t75" style="width:483.45pt;height:404.4pt" o:ole="">
            <v:imagedata r:id="rId16" o:title=""/>
          </v:shape>
          <o:OLEObject Type="Embed" ProgID="Visio.Drawing.15" ShapeID="_x0000_i1026" DrawAspect="Content" ObjectID="_1672212930" r:id="rId17"/>
        </w:object>
      </w:r>
    </w:p>
    <w:p w14:paraId="67C29CE5" w14:textId="50FC30EB" w:rsidR="002B432B" w:rsidRPr="00640C1B" w:rsidRDefault="002B432B" w:rsidP="002B432B">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8956A6">
        <w:rPr>
          <w:noProof/>
        </w:rPr>
        <w:t>1</w:t>
      </w:r>
      <w:r w:rsidRPr="00640C1B">
        <w:rPr>
          <w:b/>
          <w:bCs/>
        </w:rPr>
        <w:fldChar w:fldCharType="end"/>
      </w:r>
      <w:r w:rsidRPr="00640C1B">
        <w:rPr>
          <w:lang w:val="en-US"/>
        </w:rPr>
        <w:t xml:space="preserve">: Example for </w:t>
      </w:r>
      <w:r w:rsidR="000E5954">
        <w:rPr>
          <w:lang w:val="en-US"/>
        </w:rPr>
        <w:t>TA call flow via intermediate stage option 1</w:t>
      </w:r>
    </w:p>
    <w:p w14:paraId="3B8B2776" w14:textId="138815BB" w:rsidR="00E62C10" w:rsidRDefault="00CB552C" w:rsidP="00CB552C">
      <w:pPr>
        <w:pStyle w:val="ListParagraph"/>
        <w:numPr>
          <w:ilvl w:val="0"/>
          <w:numId w:val="26"/>
        </w:numPr>
      </w:pPr>
      <w:r>
        <w:t xml:space="preserve">Step 1-7: HO procedure for IAB-MT. </w:t>
      </w:r>
    </w:p>
    <w:p w14:paraId="66B675D5" w14:textId="7F221877" w:rsidR="00CB552C" w:rsidRDefault="00CB552C" w:rsidP="00CB552C">
      <w:pPr>
        <w:pStyle w:val="ListParagraph"/>
        <w:numPr>
          <w:ilvl w:val="0"/>
          <w:numId w:val="26"/>
        </w:numPr>
      </w:pPr>
      <w:r>
        <w:t>Step 8: new IPSec tunnel establishment</w:t>
      </w:r>
      <w:r w:rsidR="00A63542">
        <w:t xml:space="preserve"> over target path.</w:t>
      </w:r>
    </w:p>
    <w:p w14:paraId="0D27F884" w14:textId="64CBF106" w:rsidR="00CB552C" w:rsidRDefault="00CB552C" w:rsidP="00CB552C">
      <w:pPr>
        <w:pStyle w:val="ListParagraph"/>
        <w:numPr>
          <w:ilvl w:val="0"/>
          <w:numId w:val="26"/>
        </w:numPr>
      </w:pPr>
      <w:r>
        <w:t>Step 9: move the “Source F1” to target path. The 1</w:t>
      </w:r>
      <w:r w:rsidRPr="00CB552C">
        <w:rPr>
          <w:vertAlign w:val="superscript"/>
        </w:rPr>
        <w:t>st</w:t>
      </w:r>
      <w:r>
        <w:t xml:space="preserve"> DU establish a new SCTP association and inform source Donor to use this new SCTP association. </w:t>
      </w:r>
    </w:p>
    <w:p w14:paraId="7EEA502A" w14:textId="0BBB0B97" w:rsidR="00CB552C" w:rsidRDefault="00CB552C" w:rsidP="00CB552C">
      <w:pPr>
        <w:pStyle w:val="ListParagraph"/>
        <w:numPr>
          <w:ilvl w:val="0"/>
          <w:numId w:val="26"/>
        </w:numPr>
      </w:pPr>
      <w:r>
        <w:t>Step 10: the 2</w:t>
      </w:r>
      <w:r w:rsidRPr="00CB552C">
        <w:rPr>
          <w:vertAlign w:val="superscript"/>
        </w:rPr>
        <w:t>nd</w:t>
      </w:r>
      <w:r>
        <w:t xml:space="preserve"> DU establish the F1 with target Donor. This may also be performed via source path before the HO procedure for IAB-MT. </w:t>
      </w:r>
    </w:p>
    <w:p w14:paraId="21B847CB" w14:textId="3D328D8F" w:rsidR="00CB552C" w:rsidRDefault="00CB552C" w:rsidP="00CB552C">
      <w:pPr>
        <w:pStyle w:val="ListParagraph"/>
        <w:numPr>
          <w:ilvl w:val="0"/>
          <w:numId w:val="26"/>
        </w:numPr>
      </w:pPr>
      <w:r>
        <w:t xml:space="preserve">Step 11: Target Donor send UE Context Release to Source Donor. Up to the implementation, Source Donor may not need to immediately remove the context for the IAB. </w:t>
      </w:r>
    </w:p>
    <w:p w14:paraId="576D7E9D" w14:textId="040E043D" w:rsidR="00CB552C" w:rsidRDefault="00CB552C" w:rsidP="00CB552C">
      <w:pPr>
        <w:pStyle w:val="ListParagraph"/>
        <w:numPr>
          <w:ilvl w:val="0"/>
          <w:numId w:val="26"/>
        </w:numPr>
      </w:pPr>
      <w:r>
        <w:t xml:space="preserve">Step 12: Source Donor initiate the HO procedure for the UE. </w:t>
      </w:r>
      <w:r w:rsidR="00CA40DC">
        <w:t>Due to the use of the 2</w:t>
      </w:r>
      <w:r w:rsidR="00CA40DC" w:rsidRPr="00CA40DC">
        <w:rPr>
          <w:vertAlign w:val="superscript"/>
        </w:rPr>
        <w:t>nd</w:t>
      </w:r>
      <w:r w:rsidR="00CA40DC">
        <w:t xml:space="preserve"> DU, the UE context establishment can be performed with current F1AP procedure. </w:t>
      </w:r>
    </w:p>
    <w:p w14:paraId="28C53FB9" w14:textId="19A13EA5" w:rsidR="00FB234A" w:rsidRDefault="00FB234A" w:rsidP="00CB552C">
      <w:pPr>
        <w:pStyle w:val="ListParagraph"/>
        <w:numPr>
          <w:ilvl w:val="0"/>
          <w:numId w:val="26"/>
        </w:numPr>
      </w:pPr>
      <w:r>
        <w:t>Step 13: UE connect with target DU (i.e. the 2</w:t>
      </w:r>
      <w:r w:rsidRPr="00FB234A">
        <w:rPr>
          <w:vertAlign w:val="superscript"/>
        </w:rPr>
        <w:t>nd</w:t>
      </w:r>
      <w:r>
        <w:t xml:space="preserve"> DU in the IAB). </w:t>
      </w:r>
    </w:p>
    <w:p w14:paraId="576D892F" w14:textId="3888C7AB" w:rsidR="002B432B" w:rsidRDefault="50CFB5E6" w:rsidP="00CB1153">
      <w:r>
        <w:t xml:space="preserve">Since the individual UE may receive the HO command at different time, it is possible that some UE may </w:t>
      </w:r>
      <w:r w:rsidR="06D8B70F">
        <w:t>connect</w:t>
      </w:r>
      <w:r>
        <w:t xml:space="preserve"> with target DU while other UE still connect with source DU. So both DUs and their cells shall be active simultaneously. </w:t>
      </w:r>
      <w:r w:rsidR="0A21EB72">
        <w:t xml:space="preserve">Although the call flow </w:t>
      </w:r>
      <w:r w:rsidR="006250F2">
        <w:t xml:space="preserve">may be </w:t>
      </w:r>
      <w:r w:rsidR="0A21EB72">
        <w:t>workable th</w:t>
      </w:r>
      <w:r w:rsidR="3AF7E4AF">
        <w:t>eoretically</w:t>
      </w:r>
      <w:r w:rsidR="00375E81">
        <w:t xml:space="preserve"> from RAN3 perspective</w:t>
      </w:r>
      <w:r w:rsidR="3AF7E4AF">
        <w:t>, t</w:t>
      </w:r>
      <w:r>
        <w:t xml:space="preserve">his </w:t>
      </w:r>
      <w:r w:rsidR="11FEF9AE">
        <w:t>would cause various issues which have not been studied up to now. Activati</w:t>
      </w:r>
      <w:r w:rsidR="74F170D1">
        <w:t>on of</w:t>
      </w:r>
      <w:r w:rsidR="11FEF9AE">
        <w:t xml:space="preserve"> additional cell(s) for the migration purposes would likely require new configurations e.g. from OAM which in turn would require such scenario to be taken into account in the network planning. The </w:t>
      </w:r>
      <w:r w:rsidR="261E4E13">
        <w:t xml:space="preserve">cell </w:t>
      </w:r>
      <w:r w:rsidR="11FEF9AE">
        <w:t>configuration</w:t>
      </w:r>
      <w:r w:rsidR="2F17631C">
        <w:t>s</w:t>
      </w:r>
      <w:r w:rsidR="11FEF9AE">
        <w:t xml:space="preserve"> should consider at least what carrier</w:t>
      </w:r>
      <w:r w:rsidR="1A1165EB">
        <w:t>(s)</w:t>
      </w:r>
      <w:r w:rsidR="11FEF9AE">
        <w:t xml:space="preserve"> to use, SSB and access resource configurations aligned with the existing configurations in the network so that any conflicts are avoided, UE measurement configurations for cell monitoring that would still remain valid while allowing to measure new cells of the other IAB-DU</w:t>
      </w:r>
      <w:r w:rsidR="330BD6E3">
        <w:t>, etc.</w:t>
      </w:r>
      <w:r w:rsidR="11FEF9AE">
        <w:t>. If the two DUs share the same radio resources i.e. there would be two logical cell</w:t>
      </w:r>
      <w:r w:rsidR="68244409">
        <w:t>s</w:t>
      </w:r>
      <w:r w:rsidR="11FEF9AE">
        <w:t xml:space="preserve"> on the same carrier(s), there should be means to avoid overlapping resource scheduling by the two DUs - noting further that the MAC instances are basically independent for the two links. </w:t>
      </w:r>
      <w:r w:rsidR="50269420">
        <w:t>The c</w:t>
      </w:r>
      <w:r w:rsidR="11FEF9AE">
        <w:t xml:space="preserve">ases above are just some examples of issues that would be caused by the usage of two DUs and further </w:t>
      </w:r>
      <w:r w:rsidR="11FEF9AE">
        <w:lastRenderedPageBreak/>
        <w:t>complexity (both for standards and implementation) can be expected when going into details of such solution.</w:t>
      </w:r>
      <w:r w:rsidR="008579E5">
        <w:t xml:space="preserve"> The </w:t>
      </w:r>
      <w:r w:rsidR="00EE4E1C">
        <w:t xml:space="preserve">feasibility for </w:t>
      </w:r>
      <w:r w:rsidR="008579E5">
        <w:t>2 DUs in an IAB node sh</w:t>
      </w:r>
      <w:r w:rsidR="00EE4E1C">
        <w:t>ould be first discussed and confirmed by RAN1/2</w:t>
      </w:r>
      <w:r w:rsidR="006250F2">
        <w:t xml:space="preserve">/4. </w:t>
      </w:r>
    </w:p>
    <w:p w14:paraId="085E0D30" w14:textId="52D84E3C" w:rsidR="006250F2" w:rsidRPr="00D07D97" w:rsidRDefault="006250F2" w:rsidP="00CB1153">
      <w:pPr>
        <w:rPr>
          <w:b/>
          <w:bCs/>
        </w:rPr>
      </w:pPr>
      <w:r>
        <w:rPr>
          <w:b/>
          <w:bCs/>
        </w:rPr>
        <w:t xml:space="preserve">Observation 2: </w:t>
      </w:r>
      <w:r w:rsidR="00B23EF8">
        <w:rPr>
          <w:b/>
          <w:bCs/>
        </w:rPr>
        <w:t xml:space="preserve">Inter-Donor migrating using </w:t>
      </w:r>
      <w:r w:rsidR="008706E0">
        <w:rPr>
          <w:b/>
          <w:bCs/>
        </w:rPr>
        <w:t xml:space="preserve">2 </w:t>
      </w:r>
      <w:proofErr w:type="spellStart"/>
      <w:r w:rsidR="008706E0">
        <w:rPr>
          <w:b/>
          <w:bCs/>
        </w:rPr>
        <w:t>gNB</w:t>
      </w:r>
      <w:proofErr w:type="spellEnd"/>
      <w:r>
        <w:rPr>
          <w:b/>
          <w:bCs/>
        </w:rPr>
        <w:t>-DU in an IAB node may b</w:t>
      </w:r>
      <w:r w:rsidR="00B23EF8">
        <w:rPr>
          <w:b/>
          <w:bCs/>
        </w:rPr>
        <w:t xml:space="preserve">e workable from RAN3 perspective, but </w:t>
      </w:r>
      <w:r w:rsidR="003F3EFD">
        <w:rPr>
          <w:b/>
          <w:bCs/>
        </w:rPr>
        <w:t>it ha</w:t>
      </w:r>
      <w:r w:rsidR="00A8712F">
        <w:rPr>
          <w:b/>
          <w:bCs/>
        </w:rPr>
        <w:t>s various</w:t>
      </w:r>
      <w:r w:rsidR="003F3EFD">
        <w:rPr>
          <w:b/>
          <w:bCs/>
        </w:rPr>
        <w:t xml:space="preserve"> issues related to RAN1/2/4</w:t>
      </w:r>
      <w:r w:rsidR="002D57C3">
        <w:rPr>
          <w:b/>
          <w:bCs/>
        </w:rPr>
        <w:t xml:space="preserve"> that have not been studied up to now. </w:t>
      </w:r>
    </w:p>
    <w:p w14:paraId="1259781B" w14:textId="7D844914" w:rsidR="003A6111" w:rsidRDefault="00144BE6" w:rsidP="00CB1153">
      <w:r>
        <w:t>In addition, f</w:t>
      </w:r>
      <w:r w:rsidR="006B2866">
        <w:t>ollowing aspects need to be studied</w:t>
      </w:r>
      <w:r w:rsidR="003A6111">
        <w:t>:</w:t>
      </w:r>
    </w:p>
    <w:p w14:paraId="2A2CB794" w14:textId="21AB05BD" w:rsidR="00FF0B02" w:rsidRDefault="00144BE6" w:rsidP="00FF0B02">
      <w:pPr>
        <w:pStyle w:val="ListParagraph"/>
        <w:numPr>
          <w:ilvl w:val="0"/>
          <w:numId w:val="26"/>
        </w:numPr>
      </w:pPr>
      <w:r>
        <w:t>Inter-Donor rerouting</w:t>
      </w:r>
    </w:p>
    <w:p w14:paraId="2067E8EB" w14:textId="578CCA41" w:rsidR="00144BE6" w:rsidRDefault="00144BE6" w:rsidP="00E82F93">
      <w:pPr>
        <w:pStyle w:val="ListParagraph"/>
      </w:pPr>
      <w:r>
        <w:t>The “Source F1” need to be routed via target path</w:t>
      </w:r>
      <w:r w:rsidR="003336DC">
        <w:t>, or the “Target F1” needs to be routed via source path</w:t>
      </w:r>
      <w:r>
        <w:t xml:space="preserve">. This </w:t>
      </w:r>
      <w:r w:rsidR="001E372E">
        <w:t>is</w:t>
      </w:r>
      <w:r>
        <w:t xml:space="preserve"> similar to Inter-Donor Topology Redundancy. </w:t>
      </w:r>
    </w:p>
    <w:p w14:paraId="7D2CD250" w14:textId="77777777" w:rsidR="00E82F93" w:rsidRDefault="00E82F93" w:rsidP="00E82F93">
      <w:pPr>
        <w:pStyle w:val="ListParagraph"/>
      </w:pPr>
    </w:p>
    <w:p w14:paraId="5E5F1CC4" w14:textId="77777777" w:rsidR="00E5541E" w:rsidRDefault="00E5541E" w:rsidP="00E5541E">
      <w:pPr>
        <w:pStyle w:val="ListParagraph"/>
        <w:numPr>
          <w:ilvl w:val="0"/>
          <w:numId w:val="26"/>
        </w:numPr>
      </w:pPr>
      <w:r>
        <w:t xml:space="preserve">Cell ID for the IAB node </w:t>
      </w:r>
    </w:p>
    <w:p w14:paraId="238E611F" w14:textId="77777777" w:rsidR="00D74578" w:rsidRDefault="00D74578" w:rsidP="00304710">
      <w:pPr>
        <w:pStyle w:val="ListParagraph"/>
      </w:pPr>
      <w:r>
        <w:t xml:space="preserve">The NR Cell Identity (NCI) is related to the gNB-ID, i.e. </w:t>
      </w:r>
      <w:r w:rsidRPr="00B3541A">
        <w:t>The leftmost bits of the NR Cell Identity correspond to the gNB ID</w:t>
      </w:r>
      <w:r>
        <w:t xml:space="preserve">. After the IAB perform the inter-Donor migration, the IAB need to use cell NCIs that are related to target Donor. Traditionally, the OAM configures the gNB-DU for the NCIs to be used by the gNB-DU’s cells. The IAB node may provide Target Donor information the OAM server, so OAM server configures IAB node with the new NCI to be used after IAB node is successfully connected with Target Donor. There may be the case that the IAB node has more than one neighbour Donor. The Source Donor may initiate multiple HO preparation procedure for the IAB node, e.g. one HO preparation per neighbour Donor. The actual target Donor is only known after the IAB-MT successfully connected to target cell, which means the IAB node only know the new NCI after the IAB is successfully connected with Target Donor. </w:t>
      </w:r>
    </w:p>
    <w:p w14:paraId="28309776" w14:textId="77777777" w:rsidR="00D74578" w:rsidRDefault="00D74578" w:rsidP="005A745C">
      <w:pPr>
        <w:pStyle w:val="ListParagraph"/>
      </w:pPr>
    </w:p>
    <w:p w14:paraId="6B2F625B" w14:textId="77777777" w:rsidR="00D74578" w:rsidRDefault="00D74578" w:rsidP="005A745C">
      <w:pPr>
        <w:pStyle w:val="ListParagraph"/>
      </w:pPr>
      <w:r>
        <w:t xml:space="preserve">Other option may be target Donor allocate the new cell ID, and provide the new cell ID to the IAB node via the RRCReconfiguration message. </w:t>
      </w:r>
    </w:p>
    <w:p w14:paraId="13DD2AC2" w14:textId="77777777" w:rsidR="00D74578" w:rsidRDefault="00D74578" w:rsidP="005A745C">
      <w:pPr>
        <w:pStyle w:val="ListParagraph"/>
      </w:pPr>
    </w:p>
    <w:p w14:paraId="26BE04F5" w14:textId="77777777" w:rsidR="00D74578" w:rsidRDefault="00D74578" w:rsidP="005A745C">
      <w:pPr>
        <w:pStyle w:val="ListParagraph"/>
      </w:pPr>
      <w:r>
        <w:t xml:space="preserve">This needs to be further studied on when/how the IAB node know the new NCIs to be used after the IAB is successfully connected with target Donor. </w:t>
      </w:r>
    </w:p>
    <w:p w14:paraId="2E764C90" w14:textId="77777777" w:rsidR="000A72D6" w:rsidRDefault="000A72D6" w:rsidP="00E5541E">
      <w:pPr>
        <w:pStyle w:val="ListParagraph"/>
      </w:pPr>
    </w:p>
    <w:p w14:paraId="31F66BED" w14:textId="4BBDAA8C" w:rsidR="00185C8D" w:rsidRDefault="00185C8D" w:rsidP="00185C8D">
      <w:pPr>
        <w:pStyle w:val="ListParagraph"/>
        <w:numPr>
          <w:ilvl w:val="0"/>
          <w:numId w:val="26"/>
        </w:numPr>
      </w:pPr>
      <w:r>
        <w:t>Handover preparation procedure for the UE.</w:t>
      </w:r>
    </w:p>
    <w:p w14:paraId="35F2CDE2" w14:textId="3D196158" w:rsidR="00BD08F6" w:rsidRDefault="00BD08F6" w:rsidP="00BD08F6">
      <w:pPr>
        <w:pStyle w:val="ListParagraph"/>
      </w:pPr>
      <w:r>
        <w:t xml:space="preserve">In current HO Request message, the target cell ID is mandatory. Source Donor need to know the target cell ID, i.e. the new NCI to be used by the IAB node after topology adaptation. </w:t>
      </w:r>
      <w:r w:rsidR="00933D08">
        <w:t>The migrating IAB may not know the target cell ID since it host</w:t>
      </w:r>
      <w:r w:rsidR="004F2965">
        <w:t>s</w:t>
      </w:r>
      <w:r w:rsidR="00933D08">
        <w:t xml:space="preserve"> the 2 DUs. </w:t>
      </w:r>
      <w:r w:rsidR="00DA73BC">
        <w:t>So the migrating IAB may provide this information to the Source Donor. Alternatively, t</w:t>
      </w:r>
      <w:r>
        <w:t>his target cell ID information may be provided by target Donor if target Donor allocate the cell ID. This needs to be further studied.</w:t>
      </w:r>
    </w:p>
    <w:p w14:paraId="23F2ECEA" w14:textId="77777777" w:rsidR="00185C8D" w:rsidRDefault="00185C8D" w:rsidP="00185C8D">
      <w:pPr>
        <w:pStyle w:val="ListParagraph"/>
      </w:pPr>
    </w:p>
    <w:p w14:paraId="461EF415" w14:textId="31959BBF" w:rsidR="00782FCE" w:rsidRDefault="000E212C" w:rsidP="00782FCE">
      <w:pPr>
        <w:pStyle w:val="ListParagraph"/>
        <w:numPr>
          <w:ilvl w:val="0"/>
          <w:numId w:val="26"/>
        </w:numPr>
      </w:pPr>
      <w:r>
        <w:t>Signaling storm for the signalling related to the UE</w:t>
      </w:r>
      <w:r w:rsidR="00782FCE" w:rsidRPr="00E82F93">
        <w:t xml:space="preserve"> </w:t>
      </w:r>
    </w:p>
    <w:p w14:paraId="2C86A066" w14:textId="77777777" w:rsidR="00782FCE" w:rsidRDefault="00782FCE" w:rsidP="00782FCE">
      <w:pPr>
        <w:pStyle w:val="ListParagraph"/>
      </w:pPr>
      <w:r>
        <w:t xml:space="preserve">In this option, the normal F1 UE Context Setup procedure can be used to setup the F1AP UE context </w:t>
      </w:r>
    </w:p>
    <w:p w14:paraId="43C42991" w14:textId="577B8893" w:rsidR="00782FCE" w:rsidRDefault="00782FCE" w:rsidP="00782FCE">
      <w:pPr>
        <w:pStyle w:val="ListParagraph"/>
      </w:pPr>
      <w:r>
        <w:t xml:space="preserve">F1AP Context in target Donor. In case of there are many UEs connected to the IAB node, this may cause signalling storm. Further study is needed to reduce the signalling storm, e.g. transfer the F1AP UE context from source Donor to target Donor, Target Donor only need initiate the UE Context Update procedure in case target Donor change the related UE context. </w:t>
      </w:r>
    </w:p>
    <w:p w14:paraId="6C716D04" w14:textId="77777777" w:rsidR="00DC3F66" w:rsidRDefault="00DC3F66" w:rsidP="00096D41">
      <w:pPr>
        <w:rPr>
          <w:b/>
          <w:bCs/>
        </w:rPr>
      </w:pPr>
    </w:p>
    <w:p w14:paraId="5E4AAE41" w14:textId="7260BEF7" w:rsidR="00954673" w:rsidRDefault="00DC3F66" w:rsidP="00096D41">
      <w:pPr>
        <w:rPr>
          <w:b/>
          <w:bCs/>
        </w:rPr>
      </w:pPr>
      <w:r w:rsidRPr="00DC3F66">
        <w:rPr>
          <w:b/>
          <w:bCs/>
        </w:rPr>
        <w:t xml:space="preserve">Observation </w:t>
      </w:r>
      <w:r w:rsidR="0084537C">
        <w:rPr>
          <w:b/>
          <w:bCs/>
        </w:rPr>
        <w:t>3</w:t>
      </w:r>
      <w:r w:rsidRPr="00DC3F66">
        <w:rPr>
          <w:b/>
          <w:bCs/>
        </w:rPr>
        <w:t xml:space="preserve">: </w:t>
      </w:r>
      <w:r w:rsidR="003E05C9">
        <w:rPr>
          <w:b/>
          <w:bCs/>
        </w:rPr>
        <w:t xml:space="preserve">it is a big challenge to </w:t>
      </w:r>
      <w:r>
        <w:rPr>
          <w:b/>
          <w:bCs/>
        </w:rPr>
        <w:t>implement</w:t>
      </w:r>
      <w:r w:rsidR="003E05C9">
        <w:rPr>
          <w:b/>
          <w:bCs/>
        </w:rPr>
        <w:t xml:space="preserve"> </w:t>
      </w:r>
      <w:r>
        <w:rPr>
          <w:b/>
          <w:bCs/>
        </w:rPr>
        <w:t xml:space="preserve">2 gNB-DUs in one IAB node. </w:t>
      </w:r>
    </w:p>
    <w:p w14:paraId="55E0A74E" w14:textId="048AED64" w:rsidR="009E6FDD" w:rsidRPr="00DC3F66" w:rsidRDefault="009E6FDD" w:rsidP="00096D41">
      <w:pPr>
        <w:rPr>
          <w:b/>
          <w:bCs/>
        </w:rPr>
      </w:pPr>
      <w:r>
        <w:rPr>
          <w:b/>
          <w:bCs/>
        </w:rPr>
        <w:t xml:space="preserve">Observation </w:t>
      </w:r>
      <w:r w:rsidR="0084537C">
        <w:rPr>
          <w:b/>
          <w:bCs/>
        </w:rPr>
        <w:t>4</w:t>
      </w:r>
      <w:r>
        <w:rPr>
          <w:b/>
          <w:bCs/>
        </w:rPr>
        <w:t xml:space="preserve">: </w:t>
      </w:r>
      <w:r w:rsidR="004C16B1">
        <w:rPr>
          <w:b/>
          <w:bCs/>
        </w:rPr>
        <w:t>Solution using 2 gNB-DU in the IAB</w:t>
      </w:r>
      <w:r>
        <w:rPr>
          <w:b/>
          <w:bCs/>
        </w:rPr>
        <w:t xml:space="preserve"> requires inter-Donor routing. </w:t>
      </w:r>
    </w:p>
    <w:p w14:paraId="37623425" w14:textId="02DFF3EE" w:rsidR="00E36D6D" w:rsidRPr="003A22BC" w:rsidRDefault="00096D41" w:rsidP="00E36D6D">
      <w:r w:rsidRPr="00D06E79">
        <w:rPr>
          <w:b/>
          <w:bCs/>
        </w:rPr>
        <w:t xml:space="preserve">Proposal </w:t>
      </w:r>
      <w:r w:rsidR="00E31CF9">
        <w:rPr>
          <w:b/>
          <w:bCs/>
        </w:rPr>
        <w:t>2</w:t>
      </w:r>
      <w:r w:rsidRPr="00D06E79">
        <w:rPr>
          <w:b/>
          <w:bCs/>
        </w:rPr>
        <w:t>:</w:t>
      </w:r>
      <w:r w:rsidR="00E36D6D">
        <w:rPr>
          <w:b/>
          <w:bCs/>
        </w:rPr>
        <w:t xml:space="preserve"> RAN3 </w:t>
      </w:r>
      <w:r w:rsidR="0084537C">
        <w:rPr>
          <w:b/>
          <w:bCs/>
        </w:rPr>
        <w:t xml:space="preserve">should consult RAN1/2/4 on the feasibility of </w:t>
      </w:r>
      <w:r w:rsidR="00C72954">
        <w:rPr>
          <w:b/>
          <w:bCs/>
        </w:rPr>
        <w:t xml:space="preserve">dual-DU in an IAB node, before RAN3 discuss the solution </w:t>
      </w:r>
      <w:r w:rsidR="00E36D6D">
        <w:rPr>
          <w:b/>
          <w:bCs/>
        </w:rPr>
        <w:t xml:space="preserve">using 2 </w:t>
      </w:r>
      <w:proofErr w:type="spellStart"/>
      <w:r w:rsidR="00E36D6D">
        <w:rPr>
          <w:b/>
          <w:bCs/>
        </w:rPr>
        <w:t>gNB</w:t>
      </w:r>
      <w:proofErr w:type="spellEnd"/>
      <w:r w:rsidR="00E36D6D">
        <w:rPr>
          <w:b/>
          <w:bCs/>
        </w:rPr>
        <w:t xml:space="preserve">-DUs in one IAB node.  </w:t>
      </w:r>
    </w:p>
    <w:p w14:paraId="525F8747" w14:textId="35D58D0E" w:rsidR="0007278E" w:rsidRDefault="0007278E" w:rsidP="00CB1153">
      <w:pPr>
        <w:rPr>
          <w:b/>
          <w:bCs/>
        </w:rPr>
      </w:pPr>
    </w:p>
    <w:p w14:paraId="19F3ABBB" w14:textId="041BC652" w:rsidR="0007278E" w:rsidRDefault="0007278E" w:rsidP="0007278E">
      <w:pPr>
        <w:pStyle w:val="Heading2"/>
        <w:ind w:left="1134" w:hanging="1134"/>
        <w:rPr>
          <w:rFonts w:eastAsia="宋体"/>
          <w:lang w:eastAsia="en-US"/>
        </w:rPr>
      </w:pPr>
      <w:r w:rsidRPr="00640EFB">
        <w:rPr>
          <w:rFonts w:eastAsia="宋体"/>
          <w:lang w:eastAsia="en-US"/>
        </w:rPr>
        <w:t>2.</w:t>
      </w:r>
      <w:r>
        <w:rPr>
          <w:rFonts w:eastAsia="宋体"/>
          <w:lang w:eastAsia="en-US"/>
        </w:rPr>
        <w:t>2</w:t>
      </w:r>
      <w:r w:rsidRPr="00640EFB">
        <w:rPr>
          <w:rFonts w:eastAsia="宋体"/>
          <w:lang w:eastAsia="en-US"/>
        </w:rPr>
        <w:t xml:space="preserve">. </w:t>
      </w:r>
      <w:r>
        <w:rPr>
          <w:rFonts w:eastAsia="宋体"/>
          <w:lang w:eastAsia="en-US"/>
        </w:rPr>
        <w:t xml:space="preserve">Option 2 - </w:t>
      </w:r>
      <w:r w:rsidRPr="00BB0538">
        <w:rPr>
          <w:rFonts w:eastAsia="宋体"/>
          <w:lang w:eastAsia="en-US"/>
        </w:rPr>
        <w:t xml:space="preserve">UE context </w:t>
      </w:r>
      <w:r>
        <w:rPr>
          <w:rFonts w:eastAsia="宋体"/>
          <w:lang w:eastAsia="en-US"/>
        </w:rPr>
        <w:t>remains in source</w:t>
      </w:r>
      <w:r w:rsidRPr="00BB0538">
        <w:rPr>
          <w:rFonts w:eastAsia="宋体"/>
          <w:lang w:eastAsia="en-US"/>
        </w:rPr>
        <w:t xml:space="preserve"> Donor</w:t>
      </w:r>
    </w:p>
    <w:p w14:paraId="1D373473" w14:textId="0F07859F" w:rsidR="009F7528" w:rsidRDefault="003364D1" w:rsidP="00CB1153">
      <w:r w:rsidRPr="003364D1">
        <w:t>In th</w:t>
      </w:r>
      <w:r>
        <w:t xml:space="preserve">is option, </w:t>
      </w:r>
      <w:r w:rsidR="0022741B">
        <w:t xml:space="preserve">only the IAB-MT context is moved to target Donor during the HO procedure for the IAB-MT. </w:t>
      </w:r>
      <w:r w:rsidR="009F7528">
        <w:t>This may be similar to the Intermediate stage Option 1</w:t>
      </w:r>
      <w:r w:rsidR="002E6827">
        <w:t xml:space="preserve"> in Option</w:t>
      </w:r>
      <w:r w:rsidR="00171103">
        <w:t xml:space="preserve"> 1b</w:t>
      </w:r>
      <w:r w:rsidR="009F7528">
        <w:t xml:space="preserve">, but this intermediate Stage is the final Stage in this Option. </w:t>
      </w:r>
    </w:p>
    <w:p w14:paraId="2D00966E" w14:textId="5A20AE11" w:rsidR="003364D1" w:rsidRDefault="0022741B" w:rsidP="0022741B">
      <w:pPr>
        <w:jc w:val="center"/>
      </w:pPr>
      <w:r>
        <w:object w:dxaOrig="6390" w:dyaOrig="4245" w14:anchorId="6FE5B369">
          <v:shape id="_x0000_i1027" type="#_x0000_t75" style="width:319.3pt;height:212.25pt" o:ole="">
            <v:imagedata r:id="rId18" o:title=""/>
          </v:shape>
          <o:OLEObject Type="Embed" ProgID="Visio.Drawing.15" ShapeID="_x0000_i1027" DrawAspect="Content" ObjectID="_1672212931" r:id="rId19"/>
        </w:object>
      </w:r>
    </w:p>
    <w:p w14:paraId="1C7233F3" w14:textId="079691BA" w:rsidR="00FD79D2" w:rsidRPr="00640C1B" w:rsidRDefault="00FD79D2" w:rsidP="00FD79D2">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5C0D8C">
        <w:rPr>
          <w:noProof/>
        </w:rPr>
        <w:t>2</w:t>
      </w:r>
      <w:r w:rsidRPr="00640C1B">
        <w:rPr>
          <w:b/>
          <w:bCs/>
        </w:rPr>
        <w:fldChar w:fldCharType="end"/>
      </w:r>
      <w:r w:rsidRPr="00640C1B">
        <w:rPr>
          <w:lang w:val="en-US"/>
        </w:rPr>
        <w:t xml:space="preserve">: Example for </w:t>
      </w:r>
      <w:r w:rsidR="00D44856">
        <w:rPr>
          <w:lang w:val="en-US"/>
        </w:rPr>
        <w:t>Option 2</w:t>
      </w:r>
    </w:p>
    <w:p w14:paraId="7AF0704F" w14:textId="69A5A55F" w:rsidR="003364D1" w:rsidRDefault="00390826" w:rsidP="00CB1153">
      <w:r>
        <w:t xml:space="preserve">Considering </w:t>
      </w:r>
      <w:r w:rsidR="0081583D">
        <w:t xml:space="preserve">the main scenario is </w:t>
      </w:r>
      <w:r w:rsidR="0081583D" w:rsidRPr="0081583D">
        <w:t>robustness and load balancing</w:t>
      </w:r>
      <w:r w:rsidR="0081583D">
        <w:t>, it may be acceptable that the UE context remains in the source Donor.</w:t>
      </w:r>
      <w:r w:rsidR="00681B9E">
        <w:t xml:space="preserve"> In case the inter-Donor topology redundancy is supported, this solution may not require </w:t>
      </w:r>
      <w:r w:rsidR="00532D35">
        <w:t>other</w:t>
      </w:r>
      <w:r w:rsidR="00681B9E">
        <w:t xml:space="preserve"> changes</w:t>
      </w:r>
      <w:r w:rsidR="009545E8">
        <w:t xml:space="preserve">. </w:t>
      </w:r>
    </w:p>
    <w:p w14:paraId="2708D9AC" w14:textId="649D9BCB" w:rsidR="005D6F4A" w:rsidRPr="0002084C" w:rsidRDefault="0002084C" w:rsidP="00CB1153">
      <w:pPr>
        <w:rPr>
          <w:b/>
          <w:bCs/>
        </w:rPr>
      </w:pPr>
      <w:r>
        <w:rPr>
          <w:b/>
          <w:bCs/>
        </w:rPr>
        <w:t xml:space="preserve">Observation </w:t>
      </w:r>
      <w:r w:rsidR="00D02DEC">
        <w:rPr>
          <w:b/>
          <w:bCs/>
        </w:rPr>
        <w:t>5</w:t>
      </w:r>
      <w:r>
        <w:rPr>
          <w:b/>
          <w:bCs/>
        </w:rPr>
        <w:t xml:space="preserve">: </w:t>
      </w:r>
      <w:r w:rsidR="0079029C">
        <w:rPr>
          <w:b/>
          <w:bCs/>
        </w:rPr>
        <w:t>Solution using UE context remains in Source Donor</w:t>
      </w:r>
      <w:r>
        <w:rPr>
          <w:b/>
          <w:bCs/>
        </w:rPr>
        <w:t xml:space="preserve"> requires inter-Donor routing. </w:t>
      </w:r>
    </w:p>
    <w:p w14:paraId="487BE929" w14:textId="4FD3627D" w:rsidR="005D6F4A" w:rsidRPr="00681B9E" w:rsidRDefault="00681B9E" w:rsidP="00CB1153">
      <w:pPr>
        <w:rPr>
          <w:b/>
          <w:bCs/>
        </w:rPr>
      </w:pPr>
      <w:r>
        <w:rPr>
          <w:b/>
          <w:bCs/>
        </w:rPr>
        <w:t xml:space="preserve">Proposal 3: RAN3 </w:t>
      </w:r>
      <w:r w:rsidR="00092274">
        <w:rPr>
          <w:b/>
          <w:bCs/>
        </w:rPr>
        <w:t>adopt the solution that UE context remains in source Donor as a starting point</w:t>
      </w:r>
      <w:r w:rsidR="00B16F9C">
        <w:rPr>
          <w:b/>
          <w:bCs/>
        </w:rPr>
        <w:t xml:space="preserve"> for Inter-Donor Topology Adaptation</w:t>
      </w:r>
      <w:r w:rsidR="00092274">
        <w:rPr>
          <w:b/>
          <w:bCs/>
        </w:rPr>
        <w:t xml:space="preserve">. </w:t>
      </w:r>
    </w:p>
    <w:p w14:paraId="2E33F2BB" w14:textId="77777777" w:rsidR="0007278E" w:rsidRDefault="0007278E" w:rsidP="00CB1153">
      <w:pPr>
        <w:rPr>
          <w:b/>
          <w:bCs/>
        </w:rPr>
      </w:pPr>
    </w:p>
    <w:p w14:paraId="1DC384CD" w14:textId="7FCD4BE3" w:rsidR="00AC2348" w:rsidRDefault="00AC2348" w:rsidP="00AC2348">
      <w:pPr>
        <w:pStyle w:val="Heading1"/>
      </w:pPr>
      <w:r>
        <w:t>Discussion</w:t>
      </w:r>
      <w:r w:rsidR="007A0363">
        <w:t xml:space="preserve"> on </w:t>
      </w:r>
      <w:r w:rsidR="00107E54">
        <w:t>“</w:t>
      </w:r>
      <w:r w:rsidR="007A0363">
        <w:t>IAB-</w:t>
      </w:r>
      <w:r w:rsidR="00003047">
        <w:t xml:space="preserve">MT </w:t>
      </w:r>
      <w:r w:rsidR="007A0363">
        <w:t>is simultaneously connected to 2 donor-CUs</w:t>
      </w:r>
      <w:r w:rsidR="00107E54">
        <w:t>”</w:t>
      </w:r>
    </w:p>
    <w:p w14:paraId="15645AAC" w14:textId="4F5D72E6" w:rsidR="00487C69" w:rsidRDefault="0090683C" w:rsidP="00BB36D9">
      <w:pPr>
        <w:overflowPunct/>
        <w:autoSpaceDE/>
        <w:autoSpaceDN/>
        <w:adjustRightInd/>
        <w:spacing w:after="60"/>
        <w:jc w:val="left"/>
        <w:textAlignment w:val="auto"/>
      </w:pPr>
      <w:r>
        <w:t xml:space="preserve">This section analyses the options for </w:t>
      </w:r>
      <w:r w:rsidRPr="0090683C">
        <w:t>b) IAB-MT is simultaneously connected to two IAB-donors</w:t>
      </w:r>
      <w:r>
        <w:t>.</w:t>
      </w:r>
      <w:r w:rsidR="00487C69">
        <w:t xml:space="preserve"> </w:t>
      </w:r>
      <w:r w:rsidR="00A4198B">
        <w:t>When the IAB only have one gNB-DU, the IAB-DU only have one F1 interface with one Donor. When RLF occurs for MCG link or SCG link, all F1-C/U traffic are switched to the other path. The</w:t>
      </w:r>
      <w:r w:rsidR="00851D56">
        <w:t>re is no issue if the</w:t>
      </w:r>
      <w:r w:rsidR="00A4198B">
        <w:t xml:space="preserve"> UE Context and F1-C remains in the original Donor.</w:t>
      </w:r>
    </w:p>
    <w:p w14:paraId="70376A21" w14:textId="2091744E" w:rsidR="00923D67" w:rsidRDefault="00EA0A93" w:rsidP="00923D67">
      <w:pPr>
        <w:jc w:val="center"/>
        <w:rPr>
          <w:b/>
          <w:bCs/>
        </w:rPr>
      </w:pPr>
      <w:r>
        <w:object w:dxaOrig="2892" w:dyaOrig="3240" w14:anchorId="1809C314">
          <v:shape id="_x0000_i1028" type="#_x0000_t75" style="width:144.45pt;height:162.25pt" o:ole="">
            <v:imagedata r:id="rId20" o:title=""/>
          </v:shape>
          <o:OLEObject Type="Embed" ProgID="Visio.Drawing.15" ShapeID="_x0000_i1028" DrawAspect="Content" ObjectID="_1672212932" r:id="rId21"/>
        </w:object>
      </w:r>
    </w:p>
    <w:p w14:paraId="3214CD84" w14:textId="2F0BE5C2" w:rsidR="002A5700" w:rsidRPr="00640C1B" w:rsidRDefault="002A5700" w:rsidP="002A5700">
      <w:pPr>
        <w:spacing w:after="160" w:line="259" w:lineRule="auto"/>
        <w:jc w:val="center"/>
        <w:rPr>
          <w:b/>
          <w:bCs/>
        </w:rPr>
      </w:pPr>
      <w:r w:rsidRPr="00640C1B">
        <w:t xml:space="preserve">Figure </w:t>
      </w:r>
      <w:r w:rsidRPr="00640C1B">
        <w:rPr>
          <w:b/>
          <w:bCs/>
        </w:rPr>
        <w:fldChar w:fldCharType="begin"/>
      </w:r>
      <w:r w:rsidRPr="00640C1B">
        <w:instrText xml:space="preserve"> SEQ Figure \* ARABIC </w:instrText>
      </w:r>
      <w:r w:rsidRPr="00640C1B">
        <w:rPr>
          <w:b/>
          <w:bCs/>
        </w:rPr>
        <w:fldChar w:fldCharType="separate"/>
      </w:r>
      <w:r w:rsidR="005C0D8C">
        <w:rPr>
          <w:noProof/>
        </w:rPr>
        <w:t>3</w:t>
      </w:r>
      <w:r w:rsidRPr="00640C1B">
        <w:rPr>
          <w:b/>
          <w:bCs/>
        </w:rPr>
        <w:fldChar w:fldCharType="end"/>
      </w:r>
      <w:r w:rsidRPr="00640C1B">
        <w:rPr>
          <w:lang w:val="en-US"/>
        </w:rPr>
        <w:t xml:space="preserve">: Example for </w:t>
      </w:r>
      <w:r w:rsidR="005C0D8C">
        <w:rPr>
          <w:lang w:val="en-US"/>
        </w:rPr>
        <w:t xml:space="preserve">IAB </w:t>
      </w:r>
      <w:r w:rsidR="005C0D8C" w:rsidRPr="005C0D8C">
        <w:rPr>
          <w:lang w:val="en-US"/>
        </w:rPr>
        <w:t xml:space="preserve">simultaneously </w:t>
      </w:r>
      <w:r w:rsidR="005C0D8C">
        <w:rPr>
          <w:lang w:val="en-US"/>
        </w:rPr>
        <w:t>connecting to 2 Donors</w:t>
      </w:r>
    </w:p>
    <w:p w14:paraId="795FC534" w14:textId="1D9F0F65" w:rsidR="004D172C" w:rsidRDefault="00AE57B1" w:rsidP="00AE57B1">
      <w:pPr>
        <w:rPr>
          <w:b/>
          <w:bCs/>
        </w:rPr>
      </w:pPr>
      <w:r>
        <w:rPr>
          <w:b/>
          <w:bCs/>
        </w:rPr>
        <w:t>Proposal 4:</w:t>
      </w:r>
      <w:r w:rsidR="00F45ED4">
        <w:rPr>
          <w:b/>
          <w:bCs/>
        </w:rPr>
        <w:t xml:space="preserve"> when the IAB-MT </w:t>
      </w:r>
      <w:r w:rsidR="00495A77">
        <w:rPr>
          <w:b/>
          <w:bCs/>
        </w:rPr>
        <w:t>is</w:t>
      </w:r>
      <w:r w:rsidR="00F45ED4">
        <w:rPr>
          <w:b/>
          <w:bCs/>
        </w:rPr>
        <w:t xml:space="preserve"> </w:t>
      </w:r>
      <w:r w:rsidR="00495A77" w:rsidRPr="00495A77">
        <w:rPr>
          <w:b/>
          <w:bCs/>
        </w:rPr>
        <w:t>simultaneously connected to 2 donor</w:t>
      </w:r>
      <w:r>
        <w:rPr>
          <w:b/>
          <w:bCs/>
        </w:rPr>
        <w:t>s</w:t>
      </w:r>
      <w:r w:rsidR="004E1402">
        <w:rPr>
          <w:b/>
          <w:bCs/>
        </w:rPr>
        <w:t xml:space="preserve">, </w:t>
      </w:r>
      <w:r w:rsidR="005B25F7">
        <w:rPr>
          <w:b/>
          <w:bCs/>
        </w:rPr>
        <w:t xml:space="preserve">the </w:t>
      </w:r>
      <w:r>
        <w:rPr>
          <w:b/>
          <w:bCs/>
        </w:rPr>
        <w:t>UE context and F1-C can remain in the original Donor</w:t>
      </w:r>
      <w:r w:rsidR="00E57E64">
        <w:rPr>
          <w:b/>
          <w:bCs/>
        </w:rPr>
        <w:t>,</w:t>
      </w:r>
      <w:r w:rsidR="0032505B">
        <w:rPr>
          <w:b/>
          <w:bCs/>
        </w:rPr>
        <w:t xml:space="preserve"> when there is a failure of the MCG link or SCG link</w:t>
      </w:r>
      <w:r>
        <w:rPr>
          <w:b/>
          <w:bCs/>
        </w:rPr>
        <w:t xml:space="preserve">. </w:t>
      </w:r>
      <w:r w:rsidR="004D172C">
        <w:rPr>
          <w:b/>
          <w:bCs/>
        </w:rPr>
        <w:br w:type="page"/>
      </w:r>
    </w:p>
    <w:p w14:paraId="6F5F9477" w14:textId="40CF9995" w:rsidR="004F4756" w:rsidRDefault="004F4756" w:rsidP="00952130">
      <w:pPr>
        <w:pStyle w:val="Heading1"/>
      </w:pPr>
      <w:r>
        <w:lastRenderedPageBreak/>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41EF8124" w14:textId="77777777" w:rsidR="00206D22" w:rsidRPr="00131ABE" w:rsidRDefault="00206D22" w:rsidP="00206D22">
      <w:pPr>
        <w:widowControl w:val="0"/>
        <w:rPr>
          <w:rFonts w:ascii="Calibri" w:hAnsi="Calibri" w:cs="Calibri"/>
          <w:b/>
          <w:bCs/>
          <w:iCs/>
          <w:color w:val="00B050"/>
          <w:sz w:val="16"/>
          <w:szCs w:val="16"/>
        </w:rPr>
      </w:pPr>
      <w:r>
        <w:rPr>
          <w:b/>
          <w:bCs/>
        </w:rPr>
        <w:t xml:space="preserve">Observation 1: When IAB only have one gNB-DU, it is not possible to reuse current HO procedure for the UE, unless a big change is introduced. </w:t>
      </w:r>
    </w:p>
    <w:p w14:paraId="4B156944" w14:textId="77777777" w:rsidR="00D02DEC" w:rsidRPr="006E1B0B" w:rsidRDefault="00D02DEC" w:rsidP="00D02DEC">
      <w:pPr>
        <w:rPr>
          <w:b/>
          <w:bCs/>
        </w:rPr>
      </w:pPr>
      <w:r>
        <w:rPr>
          <w:b/>
          <w:bCs/>
        </w:rPr>
        <w:t xml:space="preserve">Observation 2: Inter-Donor migrating using 2 </w:t>
      </w:r>
      <w:proofErr w:type="spellStart"/>
      <w:r>
        <w:rPr>
          <w:b/>
          <w:bCs/>
        </w:rPr>
        <w:t>gNB</w:t>
      </w:r>
      <w:proofErr w:type="spellEnd"/>
      <w:r>
        <w:rPr>
          <w:b/>
          <w:bCs/>
        </w:rPr>
        <w:t xml:space="preserve">-DU in an IAB node may be workable from RAN3 perspective, but it has various issues related to RAN1/2/4 that have not been studied up to now. </w:t>
      </w:r>
    </w:p>
    <w:p w14:paraId="74EEAD3D" w14:textId="0D6EACA5" w:rsidR="00167BF3" w:rsidRDefault="00167BF3" w:rsidP="00167BF3">
      <w:pPr>
        <w:rPr>
          <w:b/>
          <w:bCs/>
        </w:rPr>
      </w:pPr>
      <w:r w:rsidRPr="00DC3F66">
        <w:rPr>
          <w:b/>
          <w:bCs/>
        </w:rPr>
        <w:t xml:space="preserve">Observation </w:t>
      </w:r>
      <w:r w:rsidR="00D02DEC">
        <w:rPr>
          <w:b/>
          <w:bCs/>
        </w:rPr>
        <w:t>3</w:t>
      </w:r>
      <w:r w:rsidRPr="00DC3F66">
        <w:rPr>
          <w:b/>
          <w:bCs/>
        </w:rPr>
        <w:t xml:space="preserve">: </w:t>
      </w:r>
      <w:r>
        <w:rPr>
          <w:b/>
          <w:bCs/>
        </w:rPr>
        <w:t xml:space="preserve">it is a big challenge to implement 2 gNB-DUs in one IAB node. </w:t>
      </w:r>
    </w:p>
    <w:p w14:paraId="3965106B" w14:textId="69E1DDA7" w:rsidR="0079029C" w:rsidRPr="00DC3F66" w:rsidRDefault="0079029C" w:rsidP="0079029C">
      <w:pPr>
        <w:rPr>
          <w:b/>
          <w:bCs/>
        </w:rPr>
      </w:pPr>
      <w:r>
        <w:rPr>
          <w:b/>
          <w:bCs/>
        </w:rPr>
        <w:t xml:space="preserve">Observation </w:t>
      </w:r>
      <w:r w:rsidR="00D02DEC">
        <w:rPr>
          <w:b/>
          <w:bCs/>
        </w:rPr>
        <w:t>4</w:t>
      </w:r>
      <w:r>
        <w:rPr>
          <w:b/>
          <w:bCs/>
        </w:rPr>
        <w:t xml:space="preserve">: Solution using 2 gNB-DU in the IAB requires inter-Donor routing. </w:t>
      </w:r>
    </w:p>
    <w:p w14:paraId="47DD49C7" w14:textId="190133DA" w:rsidR="00DB6E98" w:rsidRPr="0002084C" w:rsidRDefault="00DB6E98" w:rsidP="00DB6E98">
      <w:pPr>
        <w:rPr>
          <w:b/>
          <w:bCs/>
        </w:rPr>
      </w:pPr>
      <w:r>
        <w:rPr>
          <w:b/>
          <w:bCs/>
        </w:rPr>
        <w:t xml:space="preserve">Observation </w:t>
      </w:r>
      <w:r w:rsidR="00D02DEC">
        <w:rPr>
          <w:b/>
          <w:bCs/>
        </w:rPr>
        <w:t>5</w:t>
      </w:r>
      <w:r>
        <w:rPr>
          <w:b/>
          <w:bCs/>
        </w:rPr>
        <w:t xml:space="preserve">: Solution using UE context remains in Source Donor requires inter-Donor routing. </w:t>
      </w:r>
    </w:p>
    <w:p w14:paraId="68ED7A16" w14:textId="77777777" w:rsidR="00BB6455" w:rsidRDefault="00BB6455" w:rsidP="00BB6455">
      <w:pPr>
        <w:rPr>
          <w:b/>
          <w:bCs/>
        </w:rPr>
      </w:pPr>
    </w:p>
    <w:p w14:paraId="1C92D0D5" w14:textId="212A2581" w:rsidR="00BB6455" w:rsidRPr="00131ABE" w:rsidRDefault="00BB6455" w:rsidP="00BB6455">
      <w:pPr>
        <w:rPr>
          <w:b/>
          <w:bCs/>
        </w:rPr>
      </w:pPr>
      <w:r w:rsidRPr="00131ABE">
        <w:rPr>
          <w:b/>
          <w:bCs/>
        </w:rPr>
        <w:t>Proposal 1</w:t>
      </w:r>
      <w:r>
        <w:rPr>
          <w:b/>
          <w:bCs/>
        </w:rPr>
        <w:t xml:space="preserve">: RAN3 deprioritize the solution that using HO procedure to move UE context to target Donor, when the IAB only have one gNB-DU. </w:t>
      </w:r>
    </w:p>
    <w:p w14:paraId="53385DBD" w14:textId="77777777" w:rsidR="00D625AB" w:rsidRPr="003A22BC" w:rsidRDefault="00D625AB" w:rsidP="00D625AB">
      <w:r w:rsidRPr="00D06E79">
        <w:rPr>
          <w:b/>
          <w:bCs/>
        </w:rPr>
        <w:t xml:space="preserve">Proposal </w:t>
      </w:r>
      <w:r>
        <w:rPr>
          <w:b/>
          <w:bCs/>
        </w:rPr>
        <w:t>2</w:t>
      </w:r>
      <w:r w:rsidRPr="00D06E79">
        <w:rPr>
          <w:b/>
          <w:bCs/>
        </w:rPr>
        <w:t>:</w:t>
      </w:r>
      <w:r>
        <w:rPr>
          <w:b/>
          <w:bCs/>
        </w:rPr>
        <w:t xml:space="preserve"> RAN3 should consult RAN1/2/4 on the feasibility of dual-DU in an IAB node, before RAN3 discuss the solution using 2 </w:t>
      </w:r>
      <w:proofErr w:type="spellStart"/>
      <w:r>
        <w:rPr>
          <w:b/>
          <w:bCs/>
        </w:rPr>
        <w:t>gNB</w:t>
      </w:r>
      <w:proofErr w:type="spellEnd"/>
      <w:r>
        <w:rPr>
          <w:b/>
          <w:bCs/>
        </w:rPr>
        <w:t xml:space="preserve">-DUs in one IAB node.  </w:t>
      </w:r>
    </w:p>
    <w:p w14:paraId="608EADCA" w14:textId="77777777" w:rsidR="00BB6455" w:rsidRPr="00681B9E" w:rsidRDefault="00BB6455" w:rsidP="00BB6455">
      <w:pPr>
        <w:rPr>
          <w:b/>
          <w:bCs/>
        </w:rPr>
      </w:pPr>
      <w:bookmarkStart w:id="2" w:name="_GoBack"/>
      <w:bookmarkEnd w:id="2"/>
      <w:r>
        <w:rPr>
          <w:b/>
          <w:bCs/>
        </w:rPr>
        <w:t xml:space="preserve">Proposal 3: RAN3 adopt the solution that UE context remains in source Donor as a starting point for Inter-Donor Topology Adaptation. </w:t>
      </w:r>
    </w:p>
    <w:p w14:paraId="1B99778B" w14:textId="3D666E37" w:rsidR="00BB6455" w:rsidRDefault="00BB6455" w:rsidP="00BB6455">
      <w:pPr>
        <w:rPr>
          <w:b/>
          <w:bCs/>
        </w:rPr>
      </w:pPr>
      <w:r>
        <w:rPr>
          <w:b/>
          <w:bCs/>
        </w:rPr>
        <w:t xml:space="preserve">Proposal 4: when the IAB-MT is </w:t>
      </w:r>
      <w:r w:rsidRPr="00495A77">
        <w:rPr>
          <w:b/>
          <w:bCs/>
        </w:rPr>
        <w:t>simultaneously connected to 2 donor</w:t>
      </w:r>
      <w:r>
        <w:rPr>
          <w:b/>
          <w:bCs/>
        </w:rPr>
        <w:t>s, the UE context and F1-C can remain in the original Donor</w:t>
      </w:r>
      <w:r w:rsidR="00E57E64">
        <w:rPr>
          <w:b/>
          <w:bCs/>
        </w:rPr>
        <w:t>, when there is a failure of the MCG link or SCG link</w:t>
      </w:r>
      <w:r>
        <w:rPr>
          <w:b/>
          <w:bCs/>
        </w:rPr>
        <w:t xml:space="preserve">. </w:t>
      </w:r>
      <w:r>
        <w:rPr>
          <w:b/>
          <w:bCs/>
        </w:rPr>
        <w:br w:type="page"/>
      </w:r>
    </w:p>
    <w:p w14:paraId="7B954A45" w14:textId="77777777" w:rsidR="004C29DC" w:rsidRPr="004F4756" w:rsidRDefault="004C29DC" w:rsidP="004C29DC"/>
    <w:p w14:paraId="05E4427C" w14:textId="17FA10B4" w:rsidR="00952130" w:rsidRDefault="00952130" w:rsidP="00952130">
      <w:pPr>
        <w:pStyle w:val="Heading1"/>
      </w:pPr>
      <w:r>
        <w:t>References</w:t>
      </w:r>
    </w:p>
    <w:p w14:paraId="4C758BC3" w14:textId="6D20E599" w:rsidR="00ED5CAF" w:rsidRPr="0067794B" w:rsidRDefault="00904D21" w:rsidP="00ED5CAF">
      <w:pPr>
        <w:numPr>
          <w:ilvl w:val="0"/>
          <w:numId w:val="28"/>
        </w:numPr>
        <w:spacing w:after="180"/>
        <w:jc w:val="left"/>
        <w:rPr>
          <w:lang w:val="fi-FI"/>
        </w:rPr>
      </w:pPr>
      <w:r w:rsidRPr="00904D21">
        <w:t xml:space="preserve">R3-206854, CB#11 IABInterDonorMigration </w:t>
      </w:r>
    </w:p>
    <w:p w14:paraId="3D462577" w14:textId="451B7097" w:rsidR="00207480" w:rsidRPr="00ED5CAF" w:rsidRDefault="00ED5CAF" w:rsidP="00ED5CAF">
      <w:pPr>
        <w:numPr>
          <w:ilvl w:val="0"/>
          <w:numId w:val="28"/>
        </w:numPr>
        <w:spacing w:after="180"/>
        <w:jc w:val="left"/>
        <w:rPr>
          <w:lang w:val="fi-FI"/>
        </w:rPr>
      </w:pPr>
      <w:r w:rsidRPr="00ED5CAF">
        <w:rPr>
          <w:lang w:val="fi-FI"/>
        </w:rPr>
        <w:t xml:space="preserve">R3-206256 Inter-donor IAB-node migration </w:t>
      </w:r>
    </w:p>
    <w:bookmarkEnd w:id="1"/>
    <w:p w14:paraId="0DDB8A08" w14:textId="471810EF" w:rsidR="00952130" w:rsidRPr="00ED5CAF" w:rsidRDefault="00952130" w:rsidP="008956A6">
      <w:pPr>
        <w:spacing w:after="180"/>
        <w:ind w:left="357"/>
        <w:jc w:val="left"/>
        <w:rPr>
          <w:lang w:val="fi-FI"/>
        </w:rPr>
      </w:pPr>
    </w:p>
    <w:sectPr w:rsidR="00952130" w:rsidRPr="00ED5CAF"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7FDF3" w14:textId="77777777" w:rsidR="009B5F2C" w:rsidRDefault="009B5F2C">
      <w:r>
        <w:separator/>
      </w:r>
    </w:p>
  </w:endnote>
  <w:endnote w:type="continuationSeparator" w:id="0">
    <w:p w14:paraId="0AEA833D" w14:textId="77777777" w:rsidR="009B5F2C" w:rsidRDefault="009B5F2C">
      <w:r>
        <w:continuationSeparator/>
      </w:r>
    </w:p>
  </w:endnote>
  <w:endnote w:type="continuationNotice" w:id="1">
    <w:p w14:paraId="2040E720" w14:textId="77777777" w:rsidR="009B5F2C" w:rsidRDefault="009B5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IDFont+F1">
    <w:altName w:val="微软雅黑"/>
    <w:panose1 w:val="00000000000000000000"/>
    <w:charset w:val="86"/>
    <w:family w:val="auto"/>
    <w:notTrueType/>
    <w:pitch w:val="default"/>
    <w:sig w:usb0="00000001" w:usb1="080F0000" w:usb2="00000010" w:usb3="00000000" w:csb0="0006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9BB65" w14:textId="77777777" w:rsidR="009B5F2C" w:rsidRDefault="009B5F2C">
      <w:r>
        <w:separator/>
      </w:r>
    </w:p>
  </w:footnote>
  <w:footnote w:type="continuationSeparator" w:id="0">
    <w:p w14:paraId="75245E6B" w14:textId="77777777" w:rsidR="009B5F2C" w:rsidRDefault="009B5F2C">
      <w:r>
        <w:continuationSeparator/>
      </w:r>
    </w:p>
  </w:footnote>
  <w:footnote w:type="continuationNotice" w:id="1">
    <w:p w14:paraId="3A10B033" w14:textId="77777777" w:rsidR="009B5F2C" w:rsidRDefault="009B5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2"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20"/>
  </w:num>
  <w:num w:numId="10">
    <w:abstractNumId w:val="24"/>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7"/>
  </w:num>
  <w:num w:numId="17">
    <w:abstractNumId w:val="22"/>
  </w:num>
  <w:num w:numId="18">
    <w:abstractNumId w:val="26"/>
  </w:num>
  <w:num w:numId="19">
    <w:abstractNumId w:val="9"/>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7"/>
  </w:num>
  <w:num w:numId="24">
    <w:abstractNumId w:val="10"/>
  </w:num>
  <w:num w:numId="25">
    <w:abstractNumId w:val="11"/>
  </w:num>
  <w:num w:numId="26">
    <w:abstractNumId w:val="8"/>
  </w:num>
  <w:num w:numId="27">
    <w:abstractNumId w:val="4"/>
  </w:num>
  <w:num w:numId="2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6EB"/>
    <w:rsid w:val="000229C4"/>
    <w:rsid w:val="00022DA7"/>
    <w:rsid w:val="000238DA"/>
    <w:rsid w:val="000247D1"/>
    <w:rsid w:val="00025301"/>
    <w:rsid w:val="0002564D"/>
    <w:rsid w:val="00025ECA"/>
    <w:rsid w:val="00027939"/>
    <w:rsid w:val="000302A3"/>
    <w:rsid w:val="0003063B"/>
    <w:rsid w:val="000325B8"/>
    <w:rsid w:val="00033087"/>
    <w:rsid w:val="0003369F"/>
    <w:rsid w:val="00033EC4"/>
    <w:rsid w:val="00034C15"/>
    <w:rsid w:val="00035648"/>
    <w:rsid w:val="00036318"/>
    <w:rsid w:val="0003689A"/>
    <w:rsid w:val="00036BA1"/>
    <w:rsid w:val="00036BC6"/>
    <w:rsid w:val="0003719B"/>
    <w:rsid w:val="00041145"/>
    <w:rsid w:val="00041DE7"/>
    <w:rsid w:val="000422E2"/>
    <w:rsid w:val="00042F22"/>
    <w:rsid w:val="0004367E"/>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519E"/>
    <w:rsid w:val="00076014"/>
    <w:rsid w:val="0007608F"/>
    <w:rsid w:val="0007615C"/>
    <w:rsid w:val="00077E5F"/>
    <w:rsid w:val="0008036A"/>
    <w:rsid w:val="00081242"/>
    <w:rsid w:val="00081AE6"/>
    <w:rsid w:val="00082443"/>
    <w:rsid w:val="00082E89"/>
    <w:rsid w:val="00083749"/>
    <w:rsid w:val="000846E0"/>
    <w:rsid w:val="000855EB"/>
    <w:rsid w:val="00085B52"/>
    <w:rsid w:val="00085C30"/>
    <w:rsid w:val="00086183"/>
    <w:rsid w:val="000866F2"/>
    <w:rsid w:val="000869A1"/>
    <w:rsid w:val="00086BB7"/>
    <w:rsid w:val="0009009F"/>
    <w:rsid w:val="0009154C"/>
    <w:rsid w:val="00091557"/>
    <w:rsid w:val="00092207"/>
    <w:rsid w:val="0009227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389B"/>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55EB"/>
    <w:rsid w:val="000D6862"/>
    <w:rsid w:val="000E02D2"/>
    <w:rsid w:val="000E0527"/>
    <w:rsid w:val="000E1E92"/>
    <w:rsid w:val="000E212C"/>
    <w:rsid w:val="000E291B"/>
    <w:rsid w:val="000E2C4D"/>
    <w:rsid w:val="000E39E6"/>
    <w:rsid w:val="000E3DB8"/>
    <w:rsid w:val="000E3DEC"/>
    <w:rsid w:val="000E4B95"/>
    <w:rsid w:val="000E5954"/>
    <w:rsid w:val="000E6754"/>
    <w:rsid w:val="000F06D6"/>
    <w:rsid w:val="000F0EB1"/>
    <w:rsid w:val="000F1106"/>
    <w:rsid w:val="000F184D"/>
    <w:rsid w:val="000F1873"/>
    <w:rsid w:val="000F26B2"/>
    <w:rsid w:val="000F2B38"/>
    <w:rsid w:val="000F3BE9"/>
    <w:rsid w:val="000F3F6C"/>
    <w:rsid w:val="000F496D"/>
    <w:rsid w:val="000F5EBF"/>
    <w:rsid w:val="000F654E"/>
    <w:rsid w:val="000F6743"/>
    <w:rsid w:val="000F6DF3"/>
    <w:rsid w:val="000F79FD"/>
    <w:rsid w:val="000F7B77"/>
    <w:rsid w:val="0010032E"/>
    <w:rsid w:val="001005FF"/>
    <w:rsid w:val="001007F2"/>
    <w:rsid w:val="00101976"/>
    <w:rsid w:val="00101ECD"/>
    <w:rsid w:val="00102D88"/>
    <w:rsid w:val="001033B5"/>
    <w:rsid w:val="001039E8"/>
    <w:rsid w:val="00103FF4"/>
    <w:rsid w:val="00104334"/>
    <w:rsid w:val="00104E1C"/>
    <w:rsid w:val="001051DE"/>
    <w:rsid w:val="00105AC3"/>
    <w:rsid w:val="0010616B"/>
    <w:rsid w:val="001062FB"/>
    <w:rsid w:val="001063E6"/>
    <w:rsid w:val="0010765A"/>
    <w:rsid w:val="00107E54"/>
    <w:rsid w:val="00112540"/>
    <w:rsid w:val="00112FE9"/>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98D"/>
    <w:rsid w:val="00122F2E"/>
    <w:rsid w:val="00123033"/>
    <w:rsid w:val="0012377F"/>
    <w:rsid w:val="00124314"/>
    <w:rsid w:val="001246A6"/>
    <w:rsid w:val="00125079"/>
    <w:rsid w:val="001255DA"/>
    <w:rsid w:val="00126B4A"/>
    <w:rsid w:val="001303E3"/>
    <w:rsid w:val="00131695"/>
    <w:rsid w:val="001318B5"/>
    <w:rsid w:val="00131ABE"/>
    <w:rsid w:val="00132FD0"/>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2718"/>
    <w:rsid w:val="00143B3A"/>
    <w:rsid w:val="00143F37"/>
    <w:rsid w:val="00144798"/>
    <w:rsid w:val="00144BE6"/>
    <w:rsid w:val="001457F5"/>
    <w:rsid w:val="001503AE"/>
    <w:rsid w:val="00150E1D"/>
    <w:rsid w:val="001510AB"/>
    <w:rsid w:val="00151E23"/>
    <w:rsid w:val="001526E0"/>
    <w:rsid w:val="001536DF"/>
    <w:rsid w:val="00153B39"/>
    <w:rsid w:val="001541A3"/>
    <w:rsid w:val="0015490C"/>
    <w:rsid w:val="00154AF1"/>
    <w:rsid w:val="00154D2B"/>
    <w:rsid w:val="001551B5"/>
    <w:rsid w:val="001558FD"/>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4"/>
    <w:rsid w:val="001671FD"/>
    <w:rsid w:val="00167BF3"/>
    <w:rsid w:val="00170067"/>
    <w:rsid w:val="0017045C"/>
    <w:rsid w:val="00170F9F"/>
    <w:rsid w:val="00171103"/>
    <w:rsid w:val="001718EC"/>
    <w:rsid w:val="001732EB"/>
    <w:rsid w:val="00173A8E"/>
    <w:rsid w:val="001740A8"/>
    <w:rsid w:val="001741AA"/>
    <w:rsid w:val="00176CAD"/>
    <w:rsid w:val="00177795"/>
    <w:rsid w:val="00180989"/>
    <w:rsid w:val="0018143F"/>
    <w:rsid w:val="0018215E"/>
    <w:rsid w:val="00182FC8"/>
    <w:rsid w:val="001832CC"/>
    <w:rsid w:val="001842B6"/>
    <w:rsid w:val="00185C8D"/>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3DD5"/>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60C"/>
    <w:rsid w:val="001C793C"/>
    <w:rsid w:val="001C7C80"/>
    <w:rsid w:val="001C7F15"/>
    <w:rsid w:val="001D1F25"/>
    <w:rsid w:val="001D21C4"/>
    <w:rsid w:val="001D333A"/>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50B7"/>
    <w:rsid w:val="001E542A"/>
    <w:rsid w:val="001E58E2"/>
    <w:rsid w:val="001E59DA"/>
    <w:rsid w:val="001E647F"/>
    <w:rsid w:val="001E6F78"/>
    <w:rsid w:val="001E7AED"/>
    <w:rsid w:val="001F08A2"/>
    <w:rsid w:val="001F08EF"/>
    <w:rsid w:val="001F1D1E"/>
    <w:rsid w:val="001F2204"/>
    <w:rsid w:val="001F29B5"/>
    <w:rsid w:val="001F338B"/>
    <w:rsid w:val="001F3916"/>
    <w:rsid w:val="001F3E5B"/>
    <w:rsid w:val="001F54C5"/>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6D22"/>
    <w:rsid w:val="00207480"/>
    <w:rsid w:val="00207FA3"/>
    <w:rsid w:val="00207FBF"/>
    <w:rsid w:val="00212A0A"/>
    <w:rsid w:val="00212D46"/>
    <w:rsid w:val="00212E3C"/>
    <w:rsid w:val="00213C50"/>
    <w:rsid w:val="00214344"/>
    <w:rsid w:val="00214799"/>
    <w:rsid w:val="00214DA8"/>
    <w:rsid w:val="00215423"/>
    <w:rsid w:val="002158FA"/>
    <w:rsid w:val="00215C03"/>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24F"/>
    <w:rsid w:val="002627FC"/>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A80"/>
    <w:rsid w:val="00271F3A"/>
    <w:rsid w:val="002720DE"/>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4D6"/>
    <w:rsid w:val="002B361C"/>
    <w:rsid w:val="002B430A"/>
    <w:rsid w:val="002B432B"/>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1050"/>
    <w:rsid w:val="002E13BD"/>
    <w:rsid w:val="002E17F2"/>
    <w:rsid w:val="002E386D"/>
    <w:rsid w:val="002E44AD"/>
    <w:rsid w:val="002E4527"/>
    <w:rsid w:val="002E45E7"/>
    <w:rsid w:val="002E481A"/>
    <w:rsid w:val="002E4D97"/>
    <w:rsid w:val="002E5EAB"/>
    <w:rsid w:val="002E63BD"/>
    <w:rsid w:val="002E6827"/>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E39"/>
    <w:rsid w:val="00304338"/>
    <w:rsid w:val="00304710"/>
    <w:rsid w:val="00304DE9"/>
    <w:rsid w:val="0030501F"/>
    <w:rsid w:val="003070BB"/>
    <w:rsid w:val="00307BA1"/>
    <w:rsid w:val="00310BF9"/>
    <w:rsid w:val="00310C25"/>
    <w:rsid w:val="00311702"/>
    <w:rsid w:val="00311B31"/>
    <w:rsid w:val="00311BB6"/>
    <w:rsid w:val="00311CCB"/>
    <w:rsid w:val="00311E82"/>
    <w:rsid w:val="003127DA"/>
    <w:rsid w:val="00312FE9"/>
    <w:rsid w:val="0031309F"/>
    <w:rsid w:val="003137D1"/>
    <w:rsid w:val="00313FD6"/>
    <w:rsid w:val="003143BD"/>
    <w:rsid w:val="00317B01"/>
    <w:rsid w:val="00317E57"/>
    <w:rsid w:val="003203ED"/>
    <w:rsid w:val="00321B8C"/>
    <w:rsid w:val="00322900"/>
    <w:rsid w:val="00322C9F"/>
    <w:rsid w:val="00323D2F"/>
    <w:rsid w:val="00323DF6"/>
    <w:rsid w:val="00323F80"/>
    <w:rsid w:val="00324456"/>
    <w:rsid w:val="00324D23"/>
    <w:rsid w:val="0032505B"/>
    <w:rsid w:val="003250A8"/>
    <w:rsid w:val="00327884"/>
    <w:rsid w:val="0033074D"/>
    <w:rsid w:val="00331751"/>
    <w:rsid w:val="00331D5D"/>
    <w:rsid w:val="00332EAB"/>
    <w:rsid w:val="0033324A"/>
    <w:rsid w:val="003336DC"/>
    <w:rsid w:val="00333A1F"/>
    <w:rsid w:val="00333E51"/>
    <w:rsid w:val="00334579"/>
    <w:rsid w:val="00335858"/>
    <w:rsid w:val="0033640D"/>
    <w:rsid w:val="003364D1"/>
    <w:rsid w:val="00336BDA"/>
    <w:rsid w:val="003409B2"/>
    <w:rsid w:val="00342BD7"/>
    <w:rsid w:val="00343A07"/>
    <w:rsid w:val="00345015"/>
    <w:rsid w:val="00345333"/>
    <w:rsid w:val="00345B74"/>
    <w:rsid w:val="00346DB5"/>
    <w:rsid w:val="003476F9"/>
    <w:rsid w:val="003477B1"/>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4CE"/>
    <w:rsid w:val="00360708"/>
    <w:rsid w:val="00360747"/>
    <w:rsid w:val="00360C04"/>
    <w:rsid w:val="00361A70"/>
    <w:rsid w:val="00362AD9"/>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826"/>
    <w:rsid w:val="00391112"/>
    <w:rsid w:val="003928D6"/>
    <w:rsid w:val="003939FF"/>
    <w:rsid w:val="00393D55"/>
    <w:rsid w:val="00394896"/>
    <w:rsid w:val="00394C2D"/>
    <w:rsid w:val="00394F08"/>
    <w:rsid w:val="00395287"/>
    <w:rsid w:val="003958F1"/>
    <w:rsid w:val="00395AF3"/>
    <w:rsid w:val="00395B6A"/>
    <w:rsid w:val="00395D80"/>
    <w:rsid w:val="00396763"/>
    <w:rsid w:val="00396B88"/>
    <w:rsid w:val="003A03F4"/>
    <w:rsid w:val="003A06BC"/>
    <w:rsid w:val="003A13D1"/>
    <w:rsid w:val="003A16DC"/>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B0"/>
    <w:rsid w:val="003C6EBE"/>
    <w:rsid w:val="003C7806"/>
    <w:rsid w:val="003C78D2"/>
    <w:rsid w:val="003C7AB5"/>
    <w:rsid w:val="003D0761"/>
    <w:rsid w:val="003D0A76"/>
    <w:rsid w:val="003D109F"/>
    <w:rsid w:val="003D10AD"/>
    <w:rsid w:val="003D1CA1"/>
    <w:rsid w:val="003D2478"/>
    <w:rsid w:val="003D2FC4"/>
    <w:rsid w:val="003D3C45"/>
    <w:rsid w:val="003D3D65"/>
    <w:rsid w:val="003D42CC"/>
    <w:rsid w:val="003D45FC"/>
    <w:rsid w:val="003D5B1F"/>
    <w:rsid w:val="003D5BDB"/>
    <w:rsid w:val="003D5FC5"/>
    <w:rsid w:val="003D646D"/>
    <w:rsid w:val="003D6E70"/>
    <w:rsid w:val="003D7764"/>
    <w:rsid w:val="003D798E"/>
    <w:rsid w:val="003E0119"/>
    <w:rsid w:val="003E05C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B63"/>
    <w:rsid w:val="003F3EFD"/>
    <w:rsid w:val="003F4D56"/>
    <w:rsid w:val="003F4FB7"/>
    <w:rsid w:val="003F6BBE"/>
    <w:rsid w:val="003F723F"/>
    <w:rsid w:val="003F7761"/>
    <w:rsid w:val="003F7AC9"/>
    <w:rsid w:val="003F7FC6"/>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1999"/>
    <w:rsid w:val="0041263E"/>
    <w:rsid w:val="004130C5"/>
    <w:rsid w:val="0041319B"/>
    <w:rsid w:val="004132C8"/>
    <w:rsid w:val="0041352C"/>
    <w:rsid w:val="00413AAC"/>
    <w:rsid w:val="004154C5"/>
    <w:rsid w:val="00415B7E"/>
    <w:rsid w:val="004164B3"/>
    <w:rsid w:val="004176EB"/>
    <w:rsid w:val="00421105"/>
    <w:rsid w:val="00421784"/>
    <w:rsid w:val="0042195B"/>
    <w:rsid w:val="00422189"/>
    <w:rsid w:val="00422190"/>
    <w:rsid w:val="00423521"/>
    <w:rsid w:val="00423687"/>
    <w:rsid w:val="004238C9"/>
    <w:rsid w:val="004241FD"/>
    <w:rsid w:val="004242F4"/>
    <w:rsid w:val="00424F3F"/>
    <w:rsid w:val="00425889"/>
    <w:rsid w:val="00427248"/>
    <w:rsid w:val="00427B7B"/>
    <w:rsid w:val="00430217"/>
    <w:rsid w:val="004319E2"/>
    <w:rsid w:val="004320D2"/>
    <w:rsid w:val="00432C84"/>
    <w:rsid w:val="004337E0"/>
    <w:rsid w:val="00433868"/>
    <w:rsid w:val="004340AB"/>
    <w:rsid w:val="004359A0"/>
    <w:rsid w:val="00436C4F"/>
    <w:rsid w:val="00436FD8"/>
    <w:rsid w:val="00437447"/>
    <w:rsid w:val="004374E6"/>
    <w:rsid w:val="00437610"/>
    <w:rsid w:val="00437F19"/>
    <w:rsid w:val="00440540"/>
    <w:rsid w:val="00440743"/>
    <w:rsid w:val="00441038"/>
    <w:rsid w:val="00441A92"/>
    <w:rsid w:val="00441BE2"/>
    <w:rsid w:val="00442425"/>
    <w:rsid w:val="004426DE"/>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E45"/>
    <w:rsid w:val="00456C36"/>
    <w:rsid w:val="00457481"/>
    <w:rsid w:val="00457565"/>
    <w:rsid w:val="00457976"/>
    <w:rsid w:val="00457B71"/>
    <w:rsid w:val="004609A3"/>
    <w:rsid w:val="004617F6"/>
    <w:rsid w:val="00461B0C"/>
    <w:rsid w:val="00462755"/>
    <w:rsid w:val="004627AF"/>
    <w:rsid w:val="00463BEB"/>
    <w:rsid w:val="00463CA6"/>
    <w:rsid w:val="004644EB"/>
    <w:rsid w:val="004649C8"/>
    <w:rsid w:val="00464B16"/>
    <w:rsid w:val="0046542D"/>
    <w:rsid w:val="0046562A"/>
    <w:rsid w:val="004658CF"/>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7C69"/>
    <w:rsid w:val="0049026C"/>
    <w:rsid w:val="0049200A"/>
    <w:rsid w:val="00492747"/>
    <w:rsid w:val="00492BC5"/>
    <w:rsid w:val="00492D58"/>
    <w:rsid w:val="004932E3"/>
    <w:rsid w:val="00493819"/>
    <w:rsid w:val="004957C8"/>
    <w:rsid w:val="00495A77"/>
    <w:rsid w:val="004961A9"/>
    <w:rsid w:val="004964F1"/>
    <w:rsid w:val="00496B9A"/>
    <w:rsid w:val="004A0E54"/>
    <w:rsid w:val="004A16BC"/>
    <w:rsid w:val="004A1C96"/>
    <w:rsid w:val="004A1E83"/>
    <w:rsid w:val="004A2B94"/>
    <w:rsid w:val="004A4186"/>
    <w:rsid w:val="004A41CD"/>
    <w:rsid w:val="004A5941"/>
    <w:rsid w:val="004A61A7"/>
    <w:rsid w:val="004A7CEF"/>
    <w:rsid w:val="004B1999"/>
    <w:rsid w:val="004B1AAD"/>
    <w:rsid w:val="004B1EB4"/>
    <w:rsid w:val="004B29D1"/>
    <w:rsid w:val="004B3F6B"/>
    <w:rsid w:val="004B50E1"/>
    <w:rsid w:val="004B556D"/>
    <w:rsid w:val="004B58D3"/>
    <w:rsid w:val="004B69CC"/>
    <w:rsid w:val="004B6DEA"/>
    <w:rsid w:val="004B6F96"/>
    <w:rsid w:val="004B7C0C"/>
    <w:rsid w:val="004B7F0A"/>
    <w:rsid w:val="004C14C3"/>
    <w:rsid w:val="004C16B1"/>
    <w:rsid w:val="004C2515"/>
    <w:rsid w:val="004C29DC"/>
    <w:rsid w:val="004C3898"/>
    <w:rsid w:val="004C389B"/>
    <w:rsid w:val="004C4E39"/>
    <w:rsid w:val="004C504D"/>
    <w:rsid w:val="004C52E1"/>
    <w:rsid w:val="004C54A4"/>
    <w:rsid w:val="004C6074"/>
    <w:rsid w:val="004C6DFE"/>
    <w:rsid w:val="004C6FCD"/>
    <w:rsid w:val="004D0001"/>
    <w:rsid w:val="004D111E"/>
    <w:rsid w:val="004D172C"/>
    <w:rsid w:val="004D1A8C"/>
    <w:rsid w:val="004D36B1"/>
    <w:rsid w:val="004D3A12"/>
    <w:rsid w:val="004D483A"/>
    <w:rsid w:val="004D5745"/>
    <w:rsid w:val="004D672E"/>
    <w:rsid w:val="004D73CB"/>
    <w:rsid w:val="004D796E"/>
    <w:rsid w:val="004D7EBD"/>
    <w:rsid w:val="004E1402"/>
    <w:rsid w:val="004E16B5"/>
    <w:rsid w:val="004E188C"/>
    <w:rsid w:val="004E2680"/>
    <w:rsid w:val="004E28F9"/>
    <w:rsid w:val="004E2A75"/>
    <w:rsid w:val="004E2DB7"/>
    <w:rsid w:val="004E3357"/>
    <w:rsid w:val="004E462E"/>
    <w:rsid w:val="004E56DC"/>
    <w:rsid w:val="004E76F4"/>
    <w:rsid w:val="004F0B4E"/>
    <w:rsid w:val="004F0B6C"/>
    <w:rsid w:val="004F1557"/>
    <w:rsid w:val="004F2078"/>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62F"/>
    <w:rsid w:val="00544BAC"/>
    <w:rsid w:val="00546970"/>
    <w:rsid w:val="00547B5B"/>
    <w:rsid w:val="00550C90"/>
    <w:rsid w:val="005515EB"/>
    <w:rsid w:val="00551A0E"/>
    <w:rsid w:val="00552418"/>
    <w:rsid w:val="005526A7"/>
    <w:rsid w:val="005529AB"/>
    <w:rsid w:val="00552B00"/>
    <w:rsid w:val="00553C13"/>
    <w:rsid w:val="00553CBE"/>
    <w:rsid w:val="00554E19"/>
    <w:rsid w:val="00554E79"/>
    <w:rsid w:val="00555E3A"/>
    <w:rsid w:val="00556302"/>
    <w:rsid w:val="005565C7"/>
    <w:rsid w:val="005607E1"/>
    <w:rsid w:val="00560E4D"/>
    <w:rsid w:val="0056121F"/>
    <w:rsid w:val="00561349"/>
    <w:rsid w:val="0056138C"/>
    <w:rsid w:val="005613C4"/>
    <w:rsid w:val="005614AF"/>
    <w:rsid w:val="00563C8D"/>
    <w:rsid w:val="005643A9"/>
    <w:rsid w:val="00564DD7"/>
    <w:rsid w:val="00565D18"/>
    <w:rsid w:val="0056617B"/>
    <w:rsid w:val="005663D5"/>
    <w:rsid w:val="00567CCF"/>
    <w:rsid w:val="005702FB"/>
    <w:rsid w:val="00570BF3"/>
    <w:rsid w:val="00570C2A"/>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A1F"/>
    <w:rsid w:val="005A2C4D"/>
    <w:rsid w:val="005A42A3"/>
    <w:rsid w:val="005A4B5A"/>
    <w:rsid w:val="005A54BB"/>
    <w:rsid w:val="005A662D"/>
    <w:rsid w:val="005A6C45"/>
    <w:rsid w:val="005A7219"/>
    <w:rsid w:val="005A745C"/>
    <w:rsid w:val="005A78CA"/>
    <w:rsid w:val="005B0103"/>
    <w:rsid w:val="005B045C"/>
    <w:rsid w:val="005B07EE"/>
    <w:rsid w:val="005B0E95"/>
    <w:rsid w:val="005B25F7"/>
    <w:rsid w:val="005B28BD"/>
    <w:rsid w:val="005B35D7"/>
    <w:rsid w:val="005B391E"/>
    <w:rsid w:val="005B392A"/>
    <w:rsid w:val="005B3AA3"/>
    <w:rsid w:val="005B4A44"/>
    <w:rsid w:val="005B4EC1"/>
    <w:rsid w:val="005B555E"/>
    <w:rsid w:val="005B6089"/>
    <w:rsid w:val="005B6F83"/>
    <w:rsid w:val="005B7549"/>
    <w:rsid w:val="005C083C"/>
    <w:rsid w:val="005C0D8C"/>
    <w:rsid w:val="005C24C1"/>
    <w:rsid w:val="005C377E"/>
    <w:rsid w:val="005C480E"/>
    <w:rsid w:val="005C5143"/>
    <w:rsid w:val="005C5A4F"/>
    <w:rsid w:val="005C6023"/>
    <w:rsid w:val="005C6BCE"/>
    <w:rsid w:val="005C7029"/>
    <w:rsid w:val="005C74FB"/>
    <w:rsid w:val="005C7752"/>
    <w:rsid w:val="005C78F9"/>
    <w:rsid w:val="005C78FE"/>
    <w:rsid w:val="005C7F26"/>
    <w:rsid w:val="005D085F"/>
    <w:rsid w:val="005D0FA1"/>
    <w:rsid w:val="005D1602"/>
    <w:rsid w:val="005D1F90"/>
    <w:rsid w:val="005D259C"/>
    <w:rsid w:val="005D2953"/>
    <w:rsid w:val="005D309C"/>
    <w:rsid w:val="005D4FEE"/>
    <w:rsid w:val="005D6F4A"/>
    <w:rsid w:val="005D7306"/>
    <w:rsid w:val="005E339D"/>
    <w:rsid w:val="005E385F"/>
    <w:rsid w:val="005E405F"/>
    <w:rsid w:val="005E4801"/>
    <w:rsid w:val="005E4ECB"/>
    <w:rsid w:val="005E5072"/>
    <w:rsid w:val="005E5B81"/>
    <w:rsid w:val="005E5C3C"/>
    <w:rsid w:val="005E62A9"/>
    <w:rsid w:val="005E6AA1"/>
    <w:rsid w:val="005E6B41"/>
    <w:rsid w:val="005E74BE"/>
    <w:rsid w:val="005E79D7"/>
    <w:rsid w:val="005F0BC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0F2"/>
    <w:rsid w:val="006251C7"/>
    <w:rsid w:val="00627ADC"/>
    <w:rsid w:val="00630001"/>
    <w:rsid w:val="006311B3"/>
    <w:rsid w:val="00631C6B"/>
    <w:rsid w:val="00632022"/>
    <w:rsid w:val="00632415"/>
    <w:rsid w:val="0063284C"/>
    <w:rsid w:val="0063309B"/>
    <w:rsid w:val="006345DA"/>
    <w:rsid w:val="006347E6"/>
    <w:rsid w:val="00636087"/>
    <w:rsid w:val="00636398"/>
    <w:rsid w:val="006364F1"/>
    <w:rsid w:val="006368D3"/>
    <w:rsid w:val="0063762D"/>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67FC"/>
    <w:rsid w:val="00667821"/>
    <w:rsid w:val="00667EE7"/>
    <w:rsid w:val="00670922"/>
    <w:rsid w:val="00670BE1"/>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1B9E"/>
    <w:rsid w:val="00683ECE"/>
    <w:rsid w:val="0068429A"/>
    <w:rsid w:val="006848CD"/>
    <w:rsid w:val="00684B60"/>
    <w:rsid w:val="00684CDB"/>
    <w:rsid w:val="006858A0"/>
    <w:rsid w:val="00686808"/>
    <w:rsid w:val="00686D9A"/>
    <w:rsid w:val="0069110B"/>
    <w:rsid w:val="0069334D"/>
    <w:rsid w:val="006949B8"/>
    <w:rsid w:val="00694F13"/>
    <w:rsid w:val="00695164"/>
    <w:rsid w:val="006956BD"/>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94F"/>
    <w:rsid w:val="006B7DE8"/>
    <w:rsid w:val="006C03B8"/>
    <w:rsid w:val="006C14C0"/>
    <w:rsid w:val="006C4610"/>
    <w:rsid w:val="006C528A"/>
    <w:rsid w:val="006C5EC9"/>
    <w:rsid w:val="006C6059"/>
    <w:rsid w:val="006C6927"/>
    <w:rsid w:val="006C7522"/>
    <w:rsid w:val="006D0D96"/>
    <w:rsid w:val="006D0E36"/>
    <w:rsid w:val="006D1694"/>
    <w:rsid w:val="006D1F71"/>
    <w:rsid w:val="006D3FD5"/>
    <w:rsid w:val="006D4277"/>
    <w:rsid w:val="006D6F08"/>
    <w:rsid w:val="006D73ED"/>
    <w:rsid w:val="006E062C"/>
    <w:rsid w:val="006E0CC5"/>
    <w:rsid w:val="006E0DE6"/>
    <w:rsid w:val="006E28B7"/>
    <w:rsid w:val="006E3079"/>
    <w:rsid w:val="006E3302"/>
    <w:rsid w:val="006E3310"/>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ADC"/>
    <w:rsid w:val="00747C5C"/>
    <w:rsid w:val="00747D8B"/>
    <w:rsid w:val="0075008C"/>
    <w:rsid w:val="007506AF"/>
    <w:rsid w:val="00751228"/>
    <w:rsid w:val="0075193B"/>
    <w:rsid w:val="007522EA"/>
    <w:rsid w:val="007524C6"/>
    <w:rsid w:val="007531DB"/>
    <w:rsid w:val="0075380A"/>
    <w:rsid w:val="00753EFB"/>
    <w:rsid w:val="007541A7"/>
    <w:rsid w:val="0075420F"/>
    <w:rsid w:val="00754B5C"/>
    <w:rsid w:val="00755305"/>
    <w:rsid w:val="00755408"/>
    <w:rsid w:val="00755BC4"/>
    <w:rsid w:val="007571E1"/>
    <w:rsid w:val="007578C3"/>
    <w:rsid w:val="00757DBF"/>
    <w:rsid w:val="007604B2"/>
    <w:rsid w:val="00760BCF"/>
    <w:rsid w:val="00760FCB"/>
    <w:rsid w:val="00761C14"/>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25EA"/>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929"/>
    <w:rsid w:val="007C7CBF"/>
    <w:rsid w:val="007D04E5"/>
    <w:rsid w:val="007D0FCD"/>
    <w:rsid w:val="007D1626"/>
    <w:rsid w:val="007D24CB"/>
    <w:rsid w:val="007D311E"/>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7047"/>
    <w:rsid w:val="007E7091"/>
    <w:rsid w:val="007F02BB"/>
    <w:rsid w:val="007F1564"/>
    <w:rsid w:val="007F2516"/>
    <w:rsid w:val="007F2617"/>
    <w:rsid w:val="007F273B"/>
    <w:rsid w:val="007F2922"/>
    <w:rsid w:val="007F3374"/>
    <w:rsid w:val="007F3B89"/>
    <w:rsid w:val="007F3C98"/>
    <w:rsid w:val="007F71CE"/>
    <w:rsid w:val="007F75EF"/>
    <w:rsid w:val="007F77D6"/>
    <w:rsid w:val="0080078F"/>
    <w:rsid w:val="008015DF"/>
    <w:rsid w:val="008020FE"/>
    <w:rsid w:val="008029EE"/>
    <w:rsid w:val="008035AD"/>
    <w:rsid w:val="008035DA"/>
    <w:rsid w:val="008038B5"/>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3D"/>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537C"/>
    <w:rsid w:val="00846090"/>
    <w:rsid w:val="00846723"/>
    <w:rsid w:val="00846FE7"/>
    <w:rsid w:val="00850CEC"/>
    <w:rsid w:val="00850E36"/>
    <w:rsid w:val="00850E45"/>
    <w:rsid w:val="008519C5"/>
    <w:rsid w:val="00851C1E"/>
    <w:rsid w:val="00851D56"/>
    <w:rsid w:val="00853140"/>
    <w:rsid w:val="00853502"/>
    <w:rsid w:val="008537ED"/>
    <w:rsid w:val="00855B90"/>
    <w:rsid w:val="00855EF4"/>
    <w:rsid w:val="00856498"/>
    <w:rsid w:val="00856911"/>
    <w:rsid w:val="00856C5F"/>
    <w:rsid w:val="008579E5"/>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6E0"/>
    <w:rsid w:val="00870F8A"/>
    <w:rsid w:val="008719A4"/>
    <w:rsid w:val="00871D23"/>
    <w:rsid w:val="008721D4"/>
    <w:rsid w:val="008722F9"/>
    <w:rsid w:val="00872782"/>
    <w:rsid w:val="00873C5D"/>
    <w:rsid w:val="00874312"/>
    <w:rsid w:val="0087437C"/>
    <w:rsid w:val="00874688"/>
    <w:rsid w:val="00875CD7"/>
    <w:rsid w:val="0087608E"/>
    <w:rsid w:val="00876B4D"/>
    <w:rsid w:val="00876D5E"/>
    <w:rsid w:val="00876EDC"/>
    <w:rsid w:val="00876F4E"/>
    <w:rsid w:val="00877F18"/>
    <w:rsid w:val="00880963"/>
    <w:rsid w:val="00880BBE"/>
    <w:rsid w:val="00881496"/>
    <w:rsid w:val="008831AD"/>
    <w:rsid w:val="00883680"/>
    <w:rsid w:val="00883A4A"/>
    <w:rsid w:val="00884D89"/>
    <w:rsid w:val="008850EF"/>
    <w:rsid w:val="00885820"/>
    <w:rsid w:val="0088638F"/>
    <w:rsid w:val="00886784"/>
    <w:rsid w:val="00886A69"/>
    <w:rsid w:val="0088730D"/>
    <w:rsid w:val="008878B2"/>
    <w:rsid w:val="00891466"/>
    <w:rsid w:val="00891B88"/>
    <w:rsid w:val="008929DB"/>
    <w:rsid w:val="00894A88"/>
    <w:rsid w:val="00894C14"/>
    <w:rsid w:val="00895215"/>
    <w:rsid w:val="00895386"/>
    <w:rsid w:val="008956A6"/>
    <w:rsid w:val="00896439"/>
    <w:rsid w:val="0089699F"/>
    <w:rsid w:val="00896D3D"/>
    <w:rsid w:val="008A08E1"/>
    <w:rsid w:val="008A21FF"/>
    <w:rsid w:val="008A2902"/>
    <w:rsid w:val="008A2CE2"/>
    <w:rsid w:val="008A30AC"/>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BCE"/>
    <w:rsid w:val="008B350A"/>
    <w:rsid w:val="008B51A0"/>
    <w:rsid w:val="008B54F7"/>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3A4E"/>
    <w:rsid w:val="00923D67"/>
    <w:rsid w:val="00924DAC"/>
    <w:rsid w:val="009265E0"/>
    <w:rsid w:val="00926913"/>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3057"/>
    <w:rsid w:val="00975113"/>
    <w:rsid w:val="009753B1"/>
    <w:rsid w:val="0097603D"/>
    <w:rsid w:val="00976949"/>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5F2C"/>
    <w:rsid w:val="009B64AC"/>
    <w:rsid w:val="009B7243"/>
    <w:rsid w:val="009B72A3"/>
    <w:rsid w:val="009B7885"/>
    <w:rsid w:val="009B7C77"/>
    <w:rsid w:val="009B7D00"/>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E5D"/>
    <w:rsid w:val="00A02F75"/>
    <w:rsid w:val="00A031C7"/>
    <w:rsid w:val="00A037D6"/>
    <w:rsid w:val="00A048A8"/>
    <w:rsid w:val="00A04ED3"/>
    <w:rsid w:val="00A04F49"/>
    <w:rsid w:val="00A05F2D"/>
    <w:rsid w:val="00A064CA"/>
    <w:rsid w:val="00A06C98"/>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05"/>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E68"/>
    <w:rsid w:val="00A34EB7"/>
    <w:rsid w:val="00A3615C"/>
    <w:rsid w:val="00A36185"/>
    <w:rsid w:val="00A3627E"/>
    <w:rsid w:val="00A36297"/>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1466"/>
    <w:rsid w:val="00A51568"/>
    <w:rsid w:val="00A51F90"/>
    <w:rsid w:val="00A5264C"/>
    <w:rsid w:val="00A52B50"/>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542"/>
    <w:rsid w:val="00A6363A"/>
    <w:rsid w:val="00A6549C"/>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2A1"/>
    <w:rsid w:val="00A833AA"/>
    <w:rsid w:val="00A83903"/>
    <w:rsid w:val="00A83E38"/>
    <w:rsid w:val="00A85053"/>
    <w:rsid w:val="00A85DC7"/>
    <w:rsid w:val="00A86000"/>
    <w:rsid w:val="00A8712F"/>
    <w:rsid w:val="00A90248"/>
    <w:rsid w:val="00A916C9"/>
    <w:rsid w:val="00A91C62"/>
    <w:rsid w:val="00A92879"/>
    <w:rsid w:val="00A92908"/>
    <w:rsid w:val="00A92C7A"/>
    <w:rsid w:val="00A93694"/>
    <w:rsid w:val="00A93A0D"/>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5BF"/>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692"/>
    <w:rsid w:val="00AC5A10"/>
    <w:rsid w:val="00AC7016"/>
    <w:rsid w:val="00AC70FB"/>
    <w:rsid w:val="00AC7DF1"/>
    <w:rsid w:val="00AC7F5F"/>
    <w:rsid w:val="00AD0182"/>
    <w:rsid w:val="00AD0AA3"/>
    <w:rsid w:val="00AD0F52"/>
    <w:rsid w:val="00AD1952"/>
    <w:rsid w:val="00AD1E34"/>
    <w:rsid w:val="00AD22F7"/>
    <w:rsid w:val="00AD2496"/>
    <w:rsid w:val="00AD2B26"/>
    <w:rsid w:val="00AD388C"/>
    <w:rsid w:val="00AD3F90"/>
    <w:rsid w:val="00AD3F94"/>
    <w:rsid w:val="00AD4667"/>
    <w:rsid w:val="00AD4A5A"/>
    <w:rsid w:val="00AD5754"/>
    <w:rsid w:val="00AD6192"/>
    <w:rsid w:val="00AD67FE"/>
    <w:rsid w:val="00AD746D"/>
    <w:rsid w:val="00AE138B"/>
    <w:rsid w:val="00AE1AEC"/>
    <w:rsid w:val="00AE27AC"/>
    <w:rsid w:val="00AE27E4"/>
    <w:rsid w:val="00AE3B98"/>
    <w:rsid w:val="00AE40E0"/>
    <w:rsid w:val="00AE4209"/>
    <w:rsid w:val="00AE4D6C"/>
    <w:rsid w:val="00AE4DBA"/>
    <w:rsid w:val="00AE4F07"/>
    <w:rsid w:val="00AE5313"/>
    <w:rsid w:val="00AE53EE"/>
    <w:rsid w:val="00AE57B1"/>
    <w:rsid w:val="00AE5EDF"/>
    <w:rsid w:val="00AE6283"/>
    <w:rsid w:val="00AE79A3"/>
    <w:rsid w:val="00AE7F5A"/>
    <w:rsid w:val="00AF04AD"/>
    <w:rsid w:val="00AF0BFA"/>
    <w:rsid w:val="00AF13F7"/>
    <w:rsid w:val="00AF1C5D"/>
    <w:rsid w:val="00AF2694"/>
    <w:rsid w:val="00AF3EC3"/>
    <w:rsid w:val="00AF42D7"/>
    <w:rsid w:val="00AF4961"/>
    <w:rsid w:val="00AF4CC0"/>
    <w:rsid w:val="00AF57C1"/>
    <w:rsid w:val="00AF5A87"/>
    <w:rsid w:val="00AF6377"/>
    <w:rsid w:val="00AF6C00"/>
    <w:rsid w:val="00AF6F2F"/>
    <w:rsid w:val="00B006FE"/>
    <w:rsid w:val="00B007CB"/>
    <w:rsid w:val="00B01A6F"/>
    <w:rsid w:val="00B01B96"/>
    <w:rsid w:val="00B01DC9"/>
    <w:rsid w:val="00B01F12"/>
    <w:rsid w:val="00B0223E"/>
    <w:rsid w:val="00B02AA7"/>
    <w:rsid w:val="00B02AA9"/>
    <w:rsid w:val="00B02F74"/>
    <w:rsid w:val="00B02F9A"/>
    <w:rsid w:val="00B02FA3"/>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3437"/>
    <w:rsid w:val="00B23EF8"/>
    <w:rsid w:val="00B25FA7"/>
    <w:rsid w:val="00B2763F"/>
    <w:rsid w:val="00B27AAC"/>
    <w:rsid w:val="00B30929"/>
    <w:rsid w:val="00B30B35"/>
    <w:rsid w:val="00B34C9B"/>
    <w:rsid w:val="00B3541A"/>
    <w:rsid w:val="00B36236"/>
    <w:rsid w:val="00B369AD"/>
    <w:rsid w:val="00B37066"/>
    <w:rsid w:val="00B372AA"/>
    <w:rsid w:val="00B37D91"/>
    <w:rsid w:val="00B40445"/>
    <w:rsid w:val="00B40CF2"/>
    <w:rsid w:val="00B41888"/>
    <w:rsid w:val="00B42BDB"/>
    <w:rsid w:val="00B42EBC"/>
    <w:rsid w:val="00B44AA1"/>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A02C0"/>
    <w:rsid w:val="00BA1004"/>
    <w:rsid w:val="00BA17A5"/>
    <w:rsid w:val="00BA1B06"/>
    <w:rsid w:val="00BA2280"/>
    <w:rsid w:val="00BA2A08"/>
    <w:rsid w:val="00BA3581"/>
    <w:rsid w:val="00BA56D2"/>
    <w:rsid w:val="00BA6440"/>
    <w:rsid w:val="00BA6815"/>
    <w:rsid w:val="00BA69F5"/>
    <w:rsid w:val="00BA76E0"/>
    <w:rsid w:val="00BB0186"/>
    <w:rsid w:val="00BB0538"/>
    <w:rsid w:val="00BB212F"/>
    <w:rsid w:val="00BB229E"/>
    <w:rsid w:val="00BB2A25"/>
    <w:rsid w:val="00BB36D9"/>
    <w:rsid w:val="00BB371F"/>
    <w:rsid w:val="00BB3F23"/>
    <w:rsid w:val="00BB48D4"/>
    <w:rsid w:val="00BB4D7A"/>
    <w:rsid w:val="00BB51E9"/>
    <w:rsid w:val="00BB56BD"/>
    <w:rsid w:val="00BB6240"/>
    <w:rsid w:val="00BB6455"/>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6A8"/>
    <w:rsid w:val="00BD48AC"/>
    <w:rsid w:val="00BD5146"/>
    <w:rsid w:val="00BD5F1A"/>
    <w:rsid w:val="00BE0A6B"/>
    <w:rsid w:val="00BE1234"/>
    <w:rsid w:val="00BE20F5"/>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3778"/>
    <w:rsid w:val="00BF431E"/>
    <w:rsid w:val="00BF536D"/>
    <w:rsid w:val="00BF6704"/>
    <w:rsid w:val="00BF7049"/>
    <w:rsid w:val="00BF73CE"/>
    <w:rsid w:val="00BF7445"/>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3452"/>
    <w:rsid w:val="00C134A0"/>
    <w:rsid w:val="00C14115"/>
    <w:rsid w:val="00C148E9"/>
    <w:rsid w:val="00C14B88"/>
    <w:rsid w:val="00C14D4B"/>
    <w:rsid w:val="00C154BB"/>
    <w:rsid w:val="00C15B66"/>
    <w:rsid w:val="00C15D75"/>
    <w:rsid w:val="00C1642C"/>
    <w:rsid w:val="00C16D25"/>
    <w:rsid w:val="00C16DE5"/>
    <w:rsid w:val="00C171B1"/>
    <w:rsid w:val="00C17D3F"/>
    <w:rsid w:val="00C210BC"/>
    <w:rsid w:val="00C21C9E"/>
    <w:rsid w:val="00C237F8"/>
    <w:rsid w:val="00C23E5C"/>
    <w:rsid w:val="00C249FF"/>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FD"/>
    <w:rsid w:val="00C4067E"/>
    <w:rsid w:val="00C41E75"/>
    <w:rsid w:val="00C42BAB"/>
    <w:rsid w:val="00C43F74"/>
    <w:rsid w:val="00C44BB4"/>
    <w:rsid w:val="00C4515C"/>
    <w:rsid w:val="00C4667B"/>
    <w:rsid w:val="00C46A82"/>
    <w:rsid w:val="00C46CEC"/>
    <w:rsid w:val="00C4742E"/>
    <w:rsid w:val="00C51FCF"/>
    <w:rsid w:val="00C5214D"/>
    <w:rsid w:val="00C54995"/>
    <w:rsid w:val="00C54B8F"/>
    <w:rsid w:val="00C54D41"/>
    <w:rsid w:val="00C55921"/>
    <w:rsid w:val="00C559BF"/>
    <w:rsid w:val="00C55DD0"/>
    <w:rsid w:val="00C55F6F"/>
    <w:rsid w:val="00C561AF"/>
    <w:rsid w:val="00C5676C"/>
    <w:rsid w:val="00C57605"/>
    <w:rsid w:val="00C6006D"/>
    <w:rsid w:val="00C604A5"/>
    <w:rsid w:val="00C60783"/>
    <w:rsid w:val="00C610E9"/>
    <w:rsid w:val="00C612B9"/>
    <w:rsid w:val="00C6167D"/>
    <w:rsid w:val="00C63695"/>
    <w:rsid w:val="00C6418B"/>
    <w:rsid w:val="00C64672"/>
    <w:rsid w:val="00C64E8D"/>
    <w:rsid w:val="00C658AB"/>
    <w:rsid w:val="00C6657A"/>
    <w:rsid w:val="00C66CE5"/>
    <w:rsid w:val="00C671C8"/>
    <w:rsid w:val="00C70697"/>
    <w:rsid w:val="00C721A3"/>
    <w:rsid w:val="00C723C0"/>
    <w:rsid w:val="00C72954"/>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252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278"/>
    <w:rsid w:val="00C9342D"/>
    <w:rsid w:val="00C93C4B"/>
    <w:rsid w:val="00C944AB"/>
    <w:rsid w:val="00C95477"/>
    <w:rsid w:val="00C95B40"/>
    <w:rsid w:val="00C96A5C"/>
    <w:rsid w:val="00C97651"/>
    <w:rsid w:val="00C97A23"/>
    <w:rsid w:val="00C97BF6"/>
    <w:rsid w:val="00CA0210"/>
    <w:rsid w:val="00CA0590"/>
    <w:rsid w:val="00CA12D1"/>
    <w:rsid w:val="00CA1D8C"/>
    <w:rsid w:val="00CA1ED8"/>
    <w:rsid w:val="00CA31A3"/>
    <w:rsid w:val="00CA3D41"/>
    <w:rsid w:val="00CA40DC"/>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552C"/>
    <w:rsid w:val="00CB619A"/>
    <w:rsid w:val="00CB6927"/>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ED1"/>
    <w:rsid w:val="00CD337B"/>
    <w:rsid w:val="00CD33BC"/>
    <w:rsid w:val="00CD3BAC"/>
    <w:rsid w:val="00CD3D8E"/>
    <w:rsid w:val="00CD3E0E"/>
    <w:rsid w:val="00CD4DFA"/>
    <w:rsid w:val="00CD5F55"/>
    <w:rsid w:val="00CD6152"/>
    <w:rsid w:val="00CE0424"/>
    <w:rsid w:val="00CE2FDB"/>
    <w:rsid w:val="00CE585C"/>
    <w:rsid w:val="00CE6832"/>
    <w:rsid w:val="00CE7561"/>
    <w:rsid w:val="00CE758E"/>
    <w:rsid w:val="00CE7799"/>
    <w:rsid w:val="00CF0237"/>
    <w:rsid w:val="00CF02AC"/>
    <w:rsid w:val="00CF0864"/>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2DEC"/>
    <w:rsid w:val="00D0349B"/>
    <w:rsid w:val="00D0381B"/>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983"/>
    <w:rsid w:val="00D36E71"/>
    <w:rsid w:val="00D372DA"/>
    <w:rsid w:val="00D374B7"/>
    <w:rsid w:val="00D37D87"/>
    <w:rsid w:val="00D37E1B"/>
    <w:rsid w:val="00D405EA"/>
    <w:rsid w:val="00D40B33"/>
    <w:rsid w:val="00D410D0"/>
    <w:rsid w:val="00D41222"/>
    <w:rsid w:val="00D417D4"/>
    <w:rsid w:val="00D41BDF"/>
    <w:rsid w:val="00D41DC0"/>
    <w:rsid w:val="00D4318F"/>
    <w:rsid w:val="00D438BF"/>
    <w:rsid w:val="00D43F5A"/>
    <w:rsid w:val="00D440F8"/>
    <w:rsid w:val="00D44856"/>
    <w:rsid w:val="00D44DDF"/>
    <w:rsid w:val="00D46921"/>
    <w:rsid w:val="00D4771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E6C"/>
    <w:rsid w:val="00D65F48"/>
    <w:rsid w:val="00D66155"/>
    <w:rsid w:val="00D6685A"/>
    <w:rsid w:val="00D66A33"/>
    <w:rsid w:val="00D671DA"/>
    <w:rsid w:val="00D708B0"/>
    <w:rsid w:val="00D70B19"/>
    <w:rsid w:val="00D70E73"/>
    <w:rsid w:val="00D7135D"/>
    <w:rsid w:val="00D734EC"/>
    <w:rsid w:val="00D74578"/>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6E98"/>
    <w:rsid w:val="00DB72C9"/>
    <w:rsid w:val="00DC1887"/>
    <w:rsid w:val="00DC25CF"/>
    <w:rsid w:val="00DC28F0"/>
    <w:rsid w:val="00DC2D36"/>
    <w:rsid w:val="00DC37B1"/>
    <w:rsid w:val="00DC3F66"/>
    <w:rsid w:val="00DC4646"/>
    <w:rsid w:val="00DC478F"/>
    <w:rsid w:val="00DC4F17"/>
    <w:rsid w:val="00DC53EF"/>
    <w:rsid w:val="00DD0E49"/>
    <w:rsid w:val="00DD1B55"/>
    <w:rsid w:val="00DD1D27"/>
    <w:rsid w:val="00DD1EEE"/>
    <w:rsid w:val="00DD25DB"/>
    <w:rsid w:val="00DD2697"/>
    <w:rsid w:val="00DD42EC"/>
    <w:rsid w:val="00DD6FC6"/>
    <w:rsid w:val="00DD740E"/>
    <w:rsid w:val="00DD7789"/>
    <w:rsid w:val="00DE0491"/>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1746"/>
    <w:rsid w:val="00E01957"/>
    <w:rsid w:val="00E01E5E"/>
    <w:rsid w:val="00E0219D"/>
    <w:rsid w:val="00E0253C"/>
    <w:rsid w:val="00E04859"/>
    <w:rsid w:val="00E05CDC"/>
    <w:rsid w:val="00E05DED"/>
    <w:rsid w:val="00E05EBD"/>
    <w:rsid w:val="00E07312"/>
    <w:rsid w:val="00E073F6"/>
    <w:rsid w:val="00E07A20"/>
    <w:rsid w:val="00E10C3B"/>
    <w:rsid w:val="00E110E7"/>
    <w:rsid w:val="00E11B20"/>
    <w:rsid w:val="00E12837"/>
    <w:rsid w:val="00E138EA"/>
    <w:rsid w:val="00E13983"/>
    <w:rsid w:val="00E14DEC"/>
    <w:rsid w:val="00E152F9"/>
    <w:rsid w:val="00E1577B"/>
    <w:rsid w:val="00E16446"/>
    <w:rsid w:val="00E1681F"/>
    <w:rsid w:val="00E16915"/>
    <w:rsid w:val="00E17182"/>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27EA5"/>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1C4"/>
    <w:rsid w:val="00E46886"/>
    <w:rsid w:val="00E46B81"/>
    <w:rsid w:val="00E4773F"/>
    <w:rsid w:val="00E47AEF"/>
    <w:rsid w:val="00E50459"/>
    <w:rsid w:val="00E505DD"/>
    <w:rsid w:val="00E50DED"/>
    <w:rsid w:val="00E51480"/>
    <w:rsid w:val="00E518D7"/>
    <w:rsid w:val="00E51F25"/>
    <w:rsid w:val="00E52A55"/>
    <w:rsid w:val="00E53B75"/>
    <w:rsid w:val="00E54E3B"/>
    <w:rsid w:val="00E54F66"/>
    <w:rsid w:val="00E5509A"/>
    <w:rsid w:val="00E5541E"/>
    <w:rsid w:val="00E566F3"/>
    <w:rsid w:val="00E57565"/>
    <w:rsid w:val="00E57E64"/>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8EC"/>
    <w:rsid w:val="00E76259"/>
    <w:rsid w:val="00E774DB"/>
    <w:rsid w:val="00E8007A"/>
    <w:rsid w:val="00E821D6"/>
    <w:rsid w:val="00E8233A"/>
    <w:rsid w:val="00E8234C"/>
    <w:rsid w:val="00E82F93"/>
    <w:rsid w:val="00E8385E"/>
    <w:rsid w:val="00E83AA9"/>
    <w:rsid w:val="00E84AC6"/>
    <w:rsid w:val="00E85928"/>
    <w:rsid w:val="00E860AE"/>
    <w:rsid w:val="00E862C2"/>
    <w:rsid w:val="00E877B5"/>
    <w:rsid w:val="00E87822"/>
    <w:rsid w:val="00E90395"/>
    <w:rsid w:val="00E90783"/>
    <w:rsid w:val="00E90E49"/>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62C3"/>
    <w:rsid w:val="00EA6AC5"/>
    <w:rsid w:val="00EA6AE5"/>
    <w:rsid w:val="00EA7A41"/>
    <w:rsid w:val="00EA7D81"/>
    <w:rsid w:val="00EB05A0"/>
    <w:rsid w:val="00EB077B"/>
    <w:rsid w:val="00EB15F6"/>
    <w:rsid w:val="00EB2190"/>
    <w:rsid w:val="00EB40A6"/>
    <w:rsid w:val="00EB46CC"/>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49D4"/>
    <w:rsid w:val="00EE4B5E"/>
    <w:rsid w:val="00EE4DF7"/>
    <w:rsid w:val="00EE4E1C"/>
    <w:rsid w:val="00EE7F85"/>
    <w:rsid w:val="00EF08AA"/>
    <w:rsid w:val="00EF18FE"/>
    <w:rsid w:val="00EF4DCB"/>
    <w:rsid w:val="00EF5787"/>
    <w:rsid w:val="00EF58ED"/>
    <w:rsid w:val="00EF60D0"/>
    <w:rsid w:val="00EF682C"/>
    <w:rsid w:val="00EF7711"/>
    <w:rsid w:val="00EF78A7"/>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2E5"/>
    <w:rsid w:val="00F15FA5"/>
    <w:rsid w:val="00F164E9"/>
    <w:rsid w:val="00F1654E"/>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9CE"/>
    <w:rsid w:val="00F51ADA"/>
    <w:rsid w:val="00F51EC2"/>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850"/>
    <w:rsid w:val="00F80B50"/>
    <w:rsid w:val="00F817CE"/>
    <w:rsid w:val="00F81D16"/>
    <w:rsid w:val="00F82079"/>
    <w:rsid w:val="00F82200"/>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5DA"/>
    <w:rsid w:val="00FB69CA"/>
    <w:rsid w:val="00FB6A6A"/>
    <w:rsid w:val="00FB6E66"/>
    <w:rsid w:val="00FB6F61"/>
    <w:rsid w:val="00FB773D"/>
    <w:rsid w:val="00FC05EC"/>
    <w:rsid w:val="00FC0873"/>
    <w:rsid w:val="00FC129A"/>
    <w:rsid w:val="00FC160B"/>
    <w:rsid w:val="00FC183A"/>
    <w:rsid w:val="00FC35B7"/>
    <w:rsid w:val="00FC3FCB"/>
    <w:rsid w:val="00FC4AD0"/>
    <w:rsid w:val="00FC5B9C"/>
    <w:rsid w:val="00FC6640"/>
    <w:rsid w:val="00FC6982"/>
    <w:rsid w:val="00FC7313"/>
    <w:rsid w:val="00FC7429"/>
    <w:rsid w:val="00FC7B90"/>
    <w:rsid w:val="00FD055A"/>
    <w:rsid w:val="00FD075F"/>
    <w:rsid w:val="00FD07F6"/>
    <w:rsid w:val="00FD0F96"/>
    <w:rsid w:val="00FD1963"/>
    <w:rsid w:val="00FD1EC8"/>
    <w:rsid w:val="00FD2562"/>
    <w:rsid w:val="00FD3445"/>
    <w:rsid w:val="00FD3FB3"/>
    <w:rsid w:val="00FD47ED"/>
    <w:rsid w:val="00FD5F15"/>
    <w:rsid w:val="00FD74DB"/>
    <w:rsid w:val="00FD7660"/>
    <w:rsid w:val="00FD79D2"/>
    <w:rsid w:val="00FE0655"/>
    <w:rsid w:val="00FE1E40"/>
    <w:rsid w:val="00FE20E2"/>
    <w:rsid w:val="00FE2365"/>
    <w:rsid w:val="00FE26A4"/>
    <w:rsid w:val="00FE4009"/>
    <w:rsid w:val="00FE4659"/>
    <w:rsid w:val="00FE4B0E"/>
    <w:rsid w:val="00FE4C7B"/>
    <w:rsid w:val="00FE4CAF"/>
    <w:rsid w:val="00FE5670"/>
    <w:rsid w:val="00FE5BEE"/>
    <w:rsid w:val="00FE5E76"/>
    <w:rsid w:val="00FE7078"/>
    <w:rsid w:val="00FE7336"/>
    <w:rsid w:val="00FE787C"/>
    <w:rsid w:val="00FF0B02"/>
    <w:rsid w:val="00FF45A5"/>
    <w:rsid w:val="00FF5C91"/>
    <w:rsid w:val="00FF606A"/>
    <w:rsid w:val="00FF62AE"/>
    <w:rsid w:val="06D8B70F"/>
    <w:rsid w:val="0A21EB72"/>
    <w:rsid w:val="11FEF9AE"/>
    <w:rsid w:val="120C6BF9"/>
    <w:rsid w:val="1A1165EB"/>
    <w:rsid w:val="1A2440A0"/>
    <w:rsid w:val="23E67CDA"/>
    <w:rsid w:val="261E4E13"/>
    <w:rsid w:val="2F17631C"/>
    <w:rsid w:val="3045607F"/>
    <w:rsid w:val="330BD6E3"/>
    <w:rsid w:val="3AF7E4AF"/>
    <w:rsid w:val="44D26AB2"/>
    <w:rsid w:val="47A652A0"/>
    <w:rsid w:val="4BDB776C"/>
    <w:rsid w:val="50269420"/>
    <w:rsid w:val="50CFB5E6"/>
    <w:rsid w:val="51CE5AC6"/>
    <w:rsid w:val="68244409"/>
    <w:rsid w:val="6C2F6603"/>
    <w:rsid w:val="6DBD1123"/>
    <w:rsid w:val="74F170D1"/>
    <w:rsid w:val="78D20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5AIRPNAIUNRU-1156379521-2119</_dlc_DocId>
    <_dlc_DocIdUrl xmlns="71c5aaf6-e6ce-465b-b873-5148d2a4c105">
      <Url>https://nokia.sharepoint.com/sites/c5g/e2earch/_layouts/15/DocIdRedir.aspx?ID=5AIRPNAIUNRU-1156379521-2119</Url>
      <Description>5AIRPNAIUNRU-1156379521-2119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57AFDC15-6B94-411D-883D-2391CED69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8</Pages>
  <Words>2062</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Steven Xu</cp:lastModifiedBy>
  <cp:revision>4</cp:revision>
  <cp:lastPrinted>2020-05-20T07:03:00Z</cp:lastPrinted>
  <dcterms:created xsi:type="dcterms:W3CDTF">2021-01-15T02:39:00Z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7e897358-6510-42c7-83ca-c887a925106a</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